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Ansi="宋体"/>
          <w:szCs w:val="24"/>
          <w:shd w:val="clear" w:color="auto" w:fill="FFFFFF"/>
        </w:rPr>
      </w:pPr>
      <w:r>
        <w:rPr>
          <w:rFonts w:hint="eastAsia" w:hAnsi="宋体"/>
          <w:szCs w:val="24"/>
          <w:shd w:val="clear" w:color="auto" w:fill="FFFFFF"/>
        </w:rPr>
        <w:t>附件1：项目采购需求</w:t>
      </w:r>
    </w:p>
    <w:p>
      <w:pPr>
        <w:spacing w:line="500" w:lineRule="exact"/>
        <w:jc w:val="center"/>
        <w:rPr>
          <w:rFonts w:hAnsi="宋体"/>
          <w:b/>
          <w:bCs/>
          <w:sz w:val="44"/>
          <w:szCs w:val="44"/>
          <w:shd w:val="clear" w:color="auto" w:fill="FFFFFF"/>
        </w:rPr>
      </w:pPr>
      <w:r>
        <w:rPr>
          <w:rFonts w:hint="eastAsia" w:hAnsi="宋体"/>
          <w:b/>
          <w:bCs/>
          <w:sz w:val="44"/>
          <w:szCs w:val="44"/>
          <w:shd w:val="clear" w:color="auto" w:fill="FFFFFF"/>
        </w:rPr>
        <w:t>项目采购需求</w:t>
      </w:r>
    </w:p>
    <w:p>
      <w:pPr>
        <w:widowControl/>
        <w:jc w:val="center"/>
        <w:rPr>
          <w:rFonts w:hAnsi="宋体" w:cs="宋体"/>
          <w:b/>
          <w:bCs/>
          <w:szCs w:val="24"/>
        </w:rPr>
      </w:pPr>
    </w:p>
    <w:p>
      <w:pPr>
        <w:widowControl/>
        <w:jc w:val="center"/>
        <w:rPr>
          <w:rFonts w:hAnsi="宋体" w:cs="宋体"/>
          <w:b/>
          <w:bCs/>
          <w:szCs w:val="24"/>
        </w:rPr>
      </w:pPr>
      <w:r>
        <w:rPr>
          <w:rFonts w:hint="eastAsia" w:hAnsi="宋体" w:cs="宋体"/>
          <w:b/>
          <w:bCs/>
          <w:szCs w:val="24"/>
        </w:rPr>
        <w:t>安徽六安技师学院鉴定所生产实训考试候考室及可视系统建设项目采购需求</w:t>
      </w:r>
    </w:p>
    <w:p/>
    <w:tbl>
      <w:tblPr>
        <w:tblStyle w:val="10"/>
        <w:tblW w:w="8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067"/>
        <w:gridCol w:w="3442"/>
        <w:gridCol w:w="95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b/>
                <w:bCs/>
                <w:szCs w:val="21"/>
              </w:rPr>
            </w:pPr>
            <w:r>
              <w:rPr>
                <w:rFonts w:hint="eastAsia" w:ascii="Calibri" w:hAnsi="Calibri" w:cs="Calibri"/>
                <w:b/>
                <w:bCs/>
                <w:szCs w:val="21"/>
              </w:rPr>
              <w:t>序号</w:t>
            </w:r>
          </w:p>
        </w:tc>
        <w:tc>
          <w:tcPr>
            <w:tcW w:w="2067" w:type="dxa"/>
            <w:shd w:val="clear" w:color="auto" w:fill="auto"/>
            <w:vAlign w:val="center"/>
          </w:tcPr>
          <w:p>
            <w:pPr>
              <w:widowControl/>
              <w:jc w:val="center"/>
              <w:rPr>
                <w:rFonts w:ascii="Calibri" w:hAnsi="Calibri" w:cs="Calibri"/>
                <w:b/>
                <w:bCs/>
                <w:szCs w:val="21"/>
              </w:rPr>
            </w:pPr>
            <w:r>
              <w:rPr>
                <w:rFonts w:ascii="Calibri" w:hAnsi="Calibri" w:cs="Calibri"/>
                <w:b/>
                <w:bCs/>
                <w:szCs w:val="21"/>
              </w:rPr>
              <w:t>设备名称</w:t>
            </w:r>
          </w:p>
        </w:tc>
        <w:tc>
          <w:tcPr>
            <w:tcW w:w="3442" w:type="dxa"/>
            <w:shd w:val="clear" w:color="auto" w:fill="auto"/>
            <w:vAlign w:val="center"/>
          </w:tcPr>
          <w:p>
            <w:pPr>
              <w:widowControl/>
              <w:jc w:val="center"/>
              <w:rPr>
                <w:rFonts w:ascii="Calibri" w:hAnsi="Calibri" w:cs="Calibri"/>
                <w:b/>
                <w:bCs/>
                <w:szCs w:val="21"/>
              </w:rPr>
            </w:pPr>
            <w:r>
              <w:rPr>
                <w:rFonts w:ascii="Calibri" w:hAnsi="Calibri" w:cs="Calibri"/>
                <w:b/>
                <w:bCs/>
                <w:szCs w:val="21"/>
              </w:rPr>
              <w:t>参数</w:t>
            </w:r>
          </w:p>
        </w:tc>
        <w:tc>
          <w:tcPr>
            <w:tcW w:w="950" w:type="dxa"/>
            <w:shd w:val="clear" w:color="auto" w:fill="auto"/>
            <w:vAlign w:val="center"/>
          </w:tcPr>
          <w:p>
            <w:pPr>
              <w:widowControl/>
              <w:jc w:val="center"/>
              <w:rPr>
                <w:rFonts w:ascii="Calibri" w:hAnsi="Calibri" w:cs="Calibri"/>
                <w:b/>
                <w:bCs/>
                <w:szCs w:val="21"/>
              </w:rPr>
            </w:pPr>
            <w:r>
              <w:rPr>
                <w:rFonts w:hint="eastAsia" w:ascii="Calibri" w:hAnsi="Calibri" w:cs="Calibri"/>
                <w:b/>
                <w:bCs/>
                <w:szCs w:val="21"/>
              </w:rPr>
              <w:t>单位</w:t>
            </w:r>
          </w:p>
        </w:tc>
        <w:tc>
          <w:tcPr>
            <w:tcW w:w="1026" w:type="dxa"/>
            <w:shd w:val="clear" w:color="auto" w:fill="auto"/>
            <w:vAlign w:val="center"/>
          </w:tcPr>
          <w:p>
            <w:pPr>
              <w:widowControl/>
              <w:jc w:val="center"/>
              <w:rPr>
                <w:rFonts w:ascii="Calibri" w:hAnsi="Calibri" w:cs="Calibri"/>
                <w:b/>
                <w:bCs/>
                <w:szCs w:val="21"/>
              </w:rPr>
            </w:pPr>
            <w:r>
              <w:rPr>
                <w:rFonts w:hint="eastAsia" w:ascii="Calibri" w:hAnsi="Calibri" w:cs="Calibri"/>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361" w:type="dxa"/>
            <w:gridSpan w:val="5"/>
            <w:shd w:val="clear" w:color="auto" w:fill="auto"/>
            <w:vAlign w:val="center"/>
          </w:tcPr>
          <w:p>
            <w:pPr>
              <w:widowControl/>
              <w:jc w:val="center"/>
              <w:rPr>
                <w:rFonts w:hAnsi="宋体" w:cs="宋体"/>
                <w:sz w:val="20"/>
              </w:rPr>
            </w:pPr>
            <w:r>
              <w:rPr>
                <w:rFonts w:hint="eastAsia" w:hAnsi="宋体" w:cs="宋体"/>
                <w:b/>
                <w:bCs/>
                <w:szCs w:val="21"/>
              </w:rPr>
              <w:t>一、生产实训考试候考室及可视系统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szCs w:val="21"/>
              </w:rPr>
            </w:pPr>
            <w:r>
              <w:rPr>
                <w:rFonts w:ascii="Calibri" w:hAnsi="Calibri" w:cs="Calibri"/>
                <w:szCs w:val="21"/>
              </w:rPr>
              <w:t>1</w:t>
            </w:r>
          </w:p>
        </w:tc>
        <w:tc>
          <w:tcPr>
            <w:tcW w:w="2067" w:type="dxa"/>
            <w:shd w:val="clear" w:color="auto" w:fill="auto"/>
            <w:vAlign w:val="center"/>
          </w:tcPr>
          <w:p>
            <w:pPr>
              <w:widowControl/>
              <w:jc w:val="center"/>
              <w:rPr>
                <w:rFonts w:hAnsi="宋体" w:cs="宋体"/>
                <w:sz w:val="20"/>
              </w:rPr>
            </w:pPr>
            <w:r>
              <w:rPr>
                <w:rFonts w:hint="eastAsia" w:hAnsi="宋体" w:cs="宋体"/>
                <w:sz w:val="20"/>
              </w:rPr>
              <w:t>候考室东隔墙1</w:t>
            </w:r>
          </w:p>
        </w:tc>
        <w:tc>
          <w:tcPr>
            <w:tcW w:w="3442" w:type="dxa"/>
            <w:shd w:val="clear" w:color="auto" w:fill="auto"/>
            <w:vAlign w:val="center"/>
          </w:tcPr>
          <w:p>
            <w:pPr>
              <w:widowControl/>
              <w:jc w:val="center"/>
              <w:rPr>
                <w:rFonts w:hAnsi="宋体" w:cs="宋体"/>
                <w:sz w:val="20"/>
              </w:rPr>
            </w:pPr>
            <w:r>
              <w:rPr>
                <w:rFonts w:hint="eastAsia" w:hAnsi="宋体" w:cs="宋体"/>
                <w:sz w:val="20"/>
              </w:rPr>
              <w:t>休息室隔墙分为三部分材质，中间为钢筋骨站墙，外侧为木工板加固，最外侧为装饰用石膏板，墙面批灰、墙面油漆，满足坚实耐用、美观要求。</w:t>
            </w:r>
          </w:p>
        </w:tc>
        <w:tc>
          <w:tcPr>
            <w:tcW w:w="950" w:type="dxa"/>
            <w:shd w:val="clear" w:color="auto" w:fill="auto"/>
            <w:vAlign w:val="center"/>
          </w:tcPr>
          <w:p>
            <w:pPr>
              <w:widowControl/>
              <w:jc w:val="center"/>
              <w:rPr>
                <w:rFonts w:ascii="Calibri" w:hAnsi="Calibri" w:cs="Calibri"/>
                <w:sz w:val="20"/>
              </w:rPr>
            </w:pPr>
            <w:r>
              <w:rPr>
                <w:rFonts w:ascii="Calibri" w:hAnsi="Calibri" w:cs="Calibri"/>
                <w:sz w:val="20"/>
              </w:rPr>
              <w:t>39</w:t>
            </w:r>
          </w:p>
        </w:tc>
        <w:tc>
          <w:tcPr>
            <w:tcW w:w="1026" w:type="dxa"/>
            <w:shd w:val="clear" w:color="auto" w:fill="auto"/>
            <w:vAlign w:val="center"/>
          </w:tcPr>
          <w:p>
            <w:pPr>
              <w:widowControl/>
              <w:jc w:val="center"/>
              <w:rPr>
                <w:rFonts w:hAnsi="宋体" w:cs="宋体"/>
                <w:sz w:val="20"/>
              </w:rPr>
            </w:pPr>
            <w:r>
              <w:rPr>
                <w:rFonts w:hint="eastAsia" w:hAnsi="宋体" w:cs="宋体"/>
                <w:sz w:val="2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szCs w:val="21"/>
              </w:rPr>
            </w:pPr>
            <w:r>
              <w:rPr>
                <w:rFonts w:ascii="Calibri" w:hAnsi="Calibri" w:cs="Calibri"/>
                <w:szCs w:val="21"/>
              </w:rPr>
              <w:t>2</w:t>
            </w:r>
          </w:p>
        </w:tc>
        <w:tc>
          <w:tcPr>
            <w:tcW w:w="2067" w:type="dxa"/>
            <w:shd w:val="clear" w:color="auto" w:fill="auto"/>
            <w:vAlign w:val="center"/>
          </w:tcPr>
          <w:p>
            <w:pPr>
              <w:widowControl/>
              <w:jc w:val="center"/>
              <w:rPr>
                <w:rFonts w:hAnsi="宋体" w:cs="宋体"/>
                <w:sz w:val="20"/>
              </w:rPr>
            </w:pPr>
            <w:r>
              <w:rPr>
                <w:rFonts w:hint="eastAsia" w:hAnsi="宋体" w:cs="宋体"/>
                <w:sz w:val="20"/>
              </w:rPr>
              <w:t>候考室东隔墙2</w:t>
            </w:r>
          </w:p>
        </w:tc>
        <w:tc>
          <w:tcPr>
            <w:tcW w:w="3442" w:type="dxa"/>
            <w:shd w:val="clear" w:color="auto" w:fill="auto"/>
            <w:vAlign w:val="center"/>
          </w:tcPr>
          <w:p>
            <w:pPr>
              <w:widowControl/>
              <w:jc w:val="center"/>
              <w:rPr>
                <w:rFonts w:hAnsi="宋体" w:cs="宋体"/>
                <w:sz w:val="20"/>
              </w:rPr>
            </w:pPr>
            <w:r>
              <w:rPr>
                <w:rFonts w:hint="eastAsia" w:hAnsi="宋体" w:cs="宋体"/>
                <w:sz w:val="20"/>
              </w:rPr>
              <w:t>休息室隔墙分为三部分材质，中间为钢筋骨站墙，外侧为木工板加固，最外侧为装饰用石膏板，墙面批灰、墙面油漆，满足坚实耐用、美观要求。</w:t>
            </w:r>
          </w:p>
        </w:tc>
        <w:tc>
          <w:tcPr>
            <w:tcW w:w="950" w:type="dxa"/>
            <w:shd w:val="clear" w:color="auto" w:fill="auto"/>
            <w:vAlign w:val="center"/>
          </w:tcPr>
          <w:p>
            <w:pPr>
              <w:widowControl/>
              <w:jc w:val="center"/>
              <w:rPr>
                <w:rFonts w:ascii="Calibri" w:hAnsi="Calibri" w:cs="Calibri"/>
                <w:sz w:val="20"/>
              </w:rPr>
            </w:pPr>
            <w:r>
              <w:rPr>
                <w:rFonts w:ascii="Calibri" w:hAnsi="Calibri" w:cs="Calibri"/>
                <w:sz w:val="20"/>
              </w:rPr>
              <w:t>42</w:t>
            </w:r>
          </w:p>
        </w:tc>
        <w:tc>
          <w:tcPr>
            <w:tcW w:w="1026" w:type="dxa"/>
            <w:shd w:val="clear" w:color="auto" w:fill="auto"/>
            <w:vAlign w:val="center"/>
          </w:tcPr>
          <w:p>
            <w:pPr>
              <w:widowControl/>
              <w:jc w:val="center"/>
              <w:rPr>
                <w:rFonts w:hAnsi="宋体" w:cs="宋体"/>
                <w:sz w:val="20"/>
              </w:rPr>
            </w:pPr>
            <w:r>
              <w:rPr>
                <w:rFonts w:hint="eastAsia" w:hAnsi="宋体" w:cs="宋体"/>
                <w:sz w:val="2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szCs w:val="21"/>
              </w:rPr>
            </w:pPr>
            <w:r>
              <w:rPr>
                <w:rFonts w:ascii="Calibri" w:hAnsi="Calibri" w:cs="Calibri"/>
                <w:szCs w:val="21"/>
              </w:rPr>
              <w:t>3</w:t>
            </w:r>
          </w:p>
        </w:tc>
        <w:tc>
          <w:tcPr>
            <w:tcW w:w="2067" w:type="dxa"/>
            <w:shd w:val="clear" w:color="auto" w:fill="auto"/>
            <w:vAlign w:val="center"/>
          </w:tcPr>
          <w:p>
            <w:pPr>
              <w:widowControl/>
              <w:jc w:val="center"/>
              <w:rPr>
                <w:rFonts w:hAnsi="宋体" w:cs="宋体"/>
                <w:sz w:val="20"/>
              </w:rPr>
            </w:pPr>
            <w:r>
              <w:rPr>
                <w:rFonts w:hint="eastAsia" w:hAnsi="宋体" w:cs="宋体"/>
                <w:sz w:val="20"/>
              </w:rPr>
              <w:t>候考室西隔墙1</w:t>
            </w:r>
          </w:p>
        </w:tc>
        <w:tc>
          <w:tcPr>
            <w:tcW w:w="3442" w:type="dxa"/>
            <w:shd w:val="clear" w:color="auto" w:fill="auto"/>
            <w:vAlign w:val="center"/>
          </w:tcPr>
          <w:p>
            <w:pPr>
              <w:widowControl/>
              <w:jc w:val="center"/>
              <w:rPr>
                <w:rFonts w:hAnsi="宋体" w:cs="宋体"/>
                <w:sz w:val="20"/>
              </w:rPr>
            </w:pPr>
            <w:r>
              <w:rPr>
                <w:rFonts w:hint="eastAsia" w:hAnsi="宋体" w:cs="宋体"/>
                <w:sz w:val="20"/>
              </w:rPr>
              <w:t>休息室隔墙分为三部分材质，中间为钢筋骨站墙，外侧为木工板加固，最外侧为装饰用石膏板，墙面批灰、墙面油漆，满足坚实耐用、美观要求。</w:t>
            </w:r>
          </w:p>
        </w:tc>
        <w:tc>
          <w:tcPr>
            <w:tcW w:w="950" w:type="dxa"/>
            <w:shd w:val="clear" w:color="auto" w:fill="auto"/>
            <w:vAlign w:val="center"/>
          </w:tcPr>
          <w:p>
            <w:pPr>
              <w:widowControl/>
              <w:jc w:val="center"/>
              <w:rPr>
                <w:rFonts w:ascii="Calibri" w:hAnsi="Calibri" w:cs="Calibri"/>
                <w:sz w:val="20"/>
              </w:rPr>
            </w:pPr>
            <w:r>
              <w:rPr>
                <w:rFonts w:ascii="Calibri" w:hAnsi="Calibri" w:cs="Calibri"/>
                <w:sz w:val="20"/>
              </w:rPr>
              <w:t>39</w:t>
            </w:r>
          </w:p>
        </w:tc>
        <w:tc>
          <w:tcPr>
            <w:tcW w:w="1026" w:type="dxa"/>
            <w:shd w:val="clear" w:color="auto" w:fill="auto"/>
            <w:vAlign w:val="center"/>
          </w:tcPr>
          <w:p>
            <w:pPr>
              <w:widowControl/>
              <w:jc w:val="center"/>
              <w:rPr>
                <w:rFonts w:hAnsi="宋体" w:cs="宋体"/>
                <w:sz w:val="20"/>
              </w:rPr>
            </w:pPr>
            <w:r>
              <w:rPr>
                <w:rFonts w:hint="eastAsia" w:hAnsi="宋体" w:cs="宋体"/>
                <w:sz w:val="2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876" w:type="dxa"/>
            <w:shd w:val="clear" w:color="auto" w:fill="auto"/>
            <w:vAlign w:val="center"/>
          </w:tcPr>
          <w:p>
            <w:pPr>
              <w:widowControl/>
              <w:jc w:val="center"/>
              <w:rPr>
                <w:rFonts w:ascii="Calibri" w:hAnsi="Calibri" w:cs="Calibri"/>
                <w:szCs w:val="21"/>
              </w:rPr>
            </w:pPr>
            <w:r>
              <w:rPr>
                <w:rFonts w:ascii="Calibri" w:hAnsi="Calibri" w:cs="Calibri"/>
                <w:szCs w:val="21"/>
              </w:rPr>
              <w:t>4</w:t>
            </w:r>
          </w:p>
        </w:tc>
        <w:tc>
          <w:tcPr>
            <w:tcW w:w="2067" w:type="dxa"/>
            <w:shd w:val="clear" w:color="auto" w:fill="auto"/>
            <w:vAlign w:val="center"/>
          </w:tcPr>
          <w:p>
            <w:pPr>
              <w:widowControl/>
              <w:jc w:val="center"/>
              <w:rPr>
                <w:rFonts w:hAnsi="宋体" w:cs="宋体"/>
                <w:sz w:val="20"/>
              </w:rPr>
            </w:pPr>
            <w:r>
              <w:rPr>
                <w:rFonts w:hint="eastAsia" w:hAnsi="宋体" w:cs="宋体"/>
                <w:sz w:val="20"/>
              </w:rPr>
              <w:t>实训室玻璃隔墙</w:t>
            </w:r>
          </w:p>
        </w:tc>
        <w:tc>
          <w:tcPr>
            <w:tcW w:w="3442" w:type="dxa"/>
            <w:shd w:val="clear" w:color="auto" w:fill="auto"/>
            <w:vAlign w:val="center"/>
          </w:tcPr>
          <w:p>
            <w:pPr>
              <w:widowControl/>
              <w:jc w:val="center"/>
              <w:rPr>
                <w:rFonts w:hAnsi="宋体" w:cs="宋体"/>
                <w:sz w:val="20"/>
              </w:rPr>
            </w:pPr>
            <w:r>
              <w:rPr>
                <w:rFonts w:hint="eastAsia" w:hAnsi="宋体" w:cs="宋体"/>
                <w:sz w:val="20"/>
              </w:rPr>
              <w:t>中空玻璃、12cm厚钢化玻璃，外框要求不锈钢包边，含施工人工费、材料及安装运输费用。</w:t>
            </w:r>
          </w:p>
        </w:tc>
        <w:tc>
          <w:tcPr>
            <w:tcW w:w="950" w:type="dxa"/>
            <w:shd w:val="clear" w:color="auto" w:fill="auto"/>
            <w:vAlign w:val="center"/>
          </w:tcPr>
          <w:p>
            <w:pPr>
              <w:widowControl/>
              <w:jc w:val="center"/>
              <w:rPr>
                <w:rFonts w:ascii="Calibri" w:hAnsi="Calibri" w:cs="Calibri"/>
                <w:sz w:val="20"/>
              </w:rPr>
            </w:pPr>
            <w:r>
              <w:rPr>
                <w:rFonts w:ascii="Calibri" w:hAnsi="Calibri" w:cs="Calibri"/>
                <w:sz w:val="20"/>
              </w:rPr>
              <w:t>28</w:t>
            </w:r>
          </w:p>
        </w:tc>
        <w:tc>
          <w:tcPr>
            <w:tcW w:w="1026" w:type="dxa"/>
            <w:shd w:val="clear" w:color="auto" w:fill="auto"/>
            <w:vAlign w:val="center"/>
          </w:tcPr>
          <w:p>
            <w:pPr>
              <w:widowControl/>
              <w:jc w:val="center"/>
              <w:rPr>
                <w:rFonts w:hAnsi="宋体" w:cs="宋体"/>
                <w:sz w:val="20"/>
              </w:rPr>
            </w:pPr>
            <w:r>
              <w:rPr>
                <w:rFonts w:hint="eastAsia" w:hAnsi="宋体" w:cs="宋体"/>
                <w:sz w:val="2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szCs w:val="21"/>
              </w:rPr>
            </w:pPr>
            <w:r>
              <w:rPr>
                <w:rFonts w:ascii="Calibri" w:hAnsi="Calibri" w:cs="Calibri"/>
                <w:szCs w:val="21"/>
              </w:rPr>
              <w:t>5</w:t>
            </w:r>
          </w:p>
        </w:tc>
        <w:tc>
          <w:tcPr>
            <w:tcW w:w="2067" w:type="dxa"/>
            <w:shd w:val="clear" w:color="auto" w:fill="auto"/>
            <w:vAlign w:val="center"/>
          </w:tcPr>
          <w:p>
            <w:pPr>
              <w:widowControl/>
              <w:jc w:val="center"/>
              <w:rPr>
                <w:rFonts w:hAnsi="宋体" w:cs="宋体"/>
                <w:sz w:val="20"/>
              </w:rPr>
            </w:pPr>
            <w:r>
              <w:rPr>
                <w:rFonts w:hint="eastAsia" w:hAnsi="宋体" w:cs="宋体"/>
                <w:sz w:val="20"/>
              </w:rPr>
              <w:t>候考室隔墙玻璃门</w:t>
            </w:r>
          </w:p>
        </w:tc>
        <w:tc>
          <w:tcPr>
            <w:tcW w:w="3442" w:type="dxa"/>
            <w:shd w:val="clear" w:color="auto" w:fill="auto"/>
            <w:vAlign w:val="center"/>
          </w:tcPr>
          <w:p>
            <w:pPr>
              <w:widowControl/>
              <w:jc w:val="center"/>
              <w:rPr>
                <w:rFonts w:hAnsi="宋体" w:cs="宋体"/>
                <w:sz w:val="20"/>
              </w:rPr>
            </w:pPr>
            <w:r>
              <w:rPr>
                <w:rFonts w:hint="eastAsia" w:hAnsi="宋体" w:cs="宋体"/>
                <w:sz w:val="20"/>
              </w:rPr>
              <w:t>双扇对开</w:t>
            </w:r>
          </w:p>
        </w:tc>
        <w:tc>
          <w:tcPr>
            <w:tcW w:w="950" w:type="dxa"/>
            <w:shd w:val="clear" w:color="auto" w:fill="auto"/>
            <w:vAlign w:val="center"/>
          </w:tcPr>
          <w:p>
            <w:pPr>
              <w:widowControl/>
              <w:jc w:val="center"/>
              <w:rPr>
                <w:rFonts w:ascii="Calibri" w:hAnsi="Calibri" w:cs="Calibri"/>
                <w:sz w:val="20"/>
              </w:rPr>
            </w:pPr>
            <w:r>
              <w:rPr>
                <w:rFonts w:ascii="Calibri" w:hAnsi="Calibri" w:cs="Calibri"/>
                <w:sz w:val="20"/>
              </w:rPr>
              <w:t>2</w:t>
            </w:r>
          </w:p>
        </w:tc>
        <w:tc>
          <w:tcPr>
            <w:tcW w:w="1026" w:type="dxa"/>
            <w:shd w:val="clear" w:color="auto" w:fill="auto"/>
            <w:vAlign w:val="center"/>
          </w:tcPr>
          <w:p>
            <w:pPr>
              <w:widowControl/>
              <w:jc w:val="center"/>
              <w:rPr>
                <w:rFonts w:ascii="微软雅黑" w:hAnsi="微软雅黑" w:eastAsia="微软雅黑" w:cs="宋体"/>
                <w:sz w:val="20"/>
              </w:rPr>
            </w:pPr>
            <w:r>
              <w:rPr>
                <w:rFonts w:hint="eastAsia" w:ascii="微软雅黑" w:hAnsi="微软雅黑" w:eastAsia="微软雅黑" w:cs="宋体"/>
                <w:sz w:val="20"/>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szCs w:val="21"/>
              </w:rPr>
            </w:pPr>
            <w:r>
              <w:rPr>
                <w:rFonts w:ascii="Calibri" w:hAnsi="Calibri" w:cs="Calibri"/>
                <w:szCs w:val="21"/>
              </w:rPr>
              <w:t>6</w:t>
            </w:r>
          </w:p>
        </w:tc>
        <w:tc>
          <w:tcPr>
            <w:tcW w:w="2067" w:type="dxa"/>
            <w:shd w:val="clear" w:color="auto" w:fill="auto"/>
            <w:vAlign w:val="center"/>
          </w:tcPr>
          <w:p>
            <w:pPr>
              <w:widowControl/>
              <w:jc w:val="center"/>
              <w:rPr>
                <w:rFonts w:hAnsi="宋体" w:cs="宋体"/>
                <w:sz w:val="20"/>
              </w:rPr>
            </w:pPr>
            <w:r>
              <w:rPr>
                <w:rFonts w:hint="eastAsia" w:hAnsi="宋体" w:cs="宋体"/>
                <w:sz w:val="20"/>
              </w:rPr>
              <w:t>油漆</w:t>
            </w:r>
          </w:p>
        </w:tc>
        <w:tc>
          <w:tcPr>
            <w:tcW w:w="3442" w:type="dxa"/>
            <w:shd w:val="clear" w:color="auto" w:fill="auto"/>
            <w:vAlign w:val="center"/>
          </w:tcPr>
          <w:p>
            <w:pPr>
              <w:widowControl/>
              <w:jc w:val="center"/>
              <w:rPr>
                <w:rFonts w:hAnsi="宋体" w:cs="宋体"/>
                <w:sz w:val="20"/>
              </w:rPr>
            </w:pPr>
            <w:r>
              <w:rPr>
                <w:rFonts w:hint="eastAsia" w:hAnsi="宋体" w:cs="宋体"/>
                <w:sz w:val="20"/>
              </w:rPr>
              <w:t>无毒环保，满足环保要求</w:t>
            </w:r>
          </w:p>
        </w:tc>
        <w:tc>
          <w:tcPr>
            <w:tcW w:w="950" w:type="dxa"/>
            <w:shd w:val="clear" w:color="auto" w:fill="auto"/>
            <w:vAlign w:val="center"/>
          </w:tcPr>
          <w:p>
            <w:pPr>
              <w:widowControl/>
              <w:jc w:val="center"/>
              <w:rPr>
                <w:rFonts w:ascii="Calibri" w:hAnsi="Calibri" w:cs="Calibri"/>
                <w:sz w:val="20"/>
              </w:rPr>
            </w:pPr>
            <w:r>
              <w:rPr>
                <w:rFonts w:ascii="Calibri" w:hAnsi="Calibri" w:cs="Calibri"/>
                <w:sz w:val="20"/>
              </w:rPr>
              <w:t>240</w:t>
            </w:r>
          </w:p>
        </w:tc>
        <w:tc>
          <w:tcPr>
            <w:tcW w:w="1026" w:type="dxa"/>
            <w:shd w:val="clear" w:color="auto" w:fill="auto"/>
            <w:vAlign w:val="center"/>
          </w:tcPr>
          <w:p>
            <w:pPr>
              <w:widowControl/>
              <w:jc w:val="center"/>
              <w:rPr>
                <w:rFonts w:hAnsi="宋体" w:cs="宋体"/>
                <w:sz w:val="20"/>
              </w:rPr>
            </w:pPr>
            <w:r>
              <w:rPr>
                <w:rFonts w:hint="eastAsia" w:hAnsi="宋体" w:cs="宋体"/>
                <w:sz w:val="2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szCs w:val="21"/>
              </w:rPr>
            </w:pPr>
            <w:r>
              <w:rPr>
                <w:rFonts w:ascii="Calibri" w:hAnsi="Calibri" w:cs="Calibri"/>
                <w:szCs w:val="21"/>
              </w:rPr>
              <w:t>7</w:t>
            </w:r>
          </w:p>
        </w:tc>
        <w:tc>
          <w:tcPr>
            <w:tcW w:w="2067" w:type="dxa"/>
            <w:shd w:val="clear" w:color="auto" w:fill="auto"/>
            <w:vAlign w:val="center"/>
          </w:tcPr>
          <w:p>
            <w:pPr>
              <w:widowControl/>
              <w:jc w:val="center"/>
              <w:rPr>
                <w:rFonts w:hAnsi="宋体" w:cs="宋体"/>
                <w:sz w:val="20"/>
              </w:rPr>
            </w:pPr>
            <w:r>
              <w:rPr>
                <w:rFonts w:hint="eastAsia" w:hAnsi="宋体" w:cs="宋体"/>
                <w:sz w:val="20"/>
              </w:rPr>
              <w:t>55寸液晶拼接大屏幕</w:t>
            </w:r>
          </w:p>
        </w:tc>
        <w:tc>
          <w:tcPr>
            <w:tcW w:w="3442" w:type="dxa"/>
            <w:shd w:val="clear" w:color="auto" w:fill="auto"/>
            <w:vAlign w:val="center"/>
          </w:tcPr>
          <w:p>
            <w:pPr>
              <w:widowControl/>
              <w:jc w:val="left"/>
              <w:rPr>
                <w:rFonts w:hAnsi="宋体" w:cs="宋体"/>
                <w:sz w:val="20"/>
              </w:rPr>
            </w:pPr>
            <w:r>
              <w:rPr>
                <w:rFonts w:hAnsi="宋体" w:cs="宋体"/>
                <w:sz w:val="20"/>
              </w:rPr>
              <w:t>1、单块拼接屏为55寸3.5mm ；单片尺寸：1214×685mm  分辨率 1920*1080</w:t>
            </w:r>
          </w:p>
          <w:p>
            <w:pPr>
              <w:widowControl/>
              <w:jc w:val="left"/>
              <w:rPr>
                <w:rFonts w:hAnsi="宋体" w:cs="宋体"/>
                <w:sz w:val="20"/>
              </w:rPr>
            </w:pPr>
            <w:r>
              <w:rPr>
                <w:rFonts w:hint="eastAsia" w:hAnsi="宋体" w:cs="宋体"/>
                <w:sz w:val="20"/>
              </w:rPr>
              <w:t>亮度</w:t>
            </w:r>
            <w:r>
              <w:rPr>
                <w:rFonts w:hAnsi="宋体" w:cs="宋体"/>
                <w:sz w:val="20"/>
              </w:rPr>
              <w:t xml:space="preserve"> 500cd/m² 对比度 4000：1 反应时间 8 ms， 像素点距 0.5415*0.5415mm，视角 178°/178°（水平/垂直） 可视面积 1210*681，显示色彩 16.7M</w:t>
            </w:r>
          </w:p>
          <w:p>
            <w:pPr>
              <w:widowControl/>
              <w:jc w:val="left"/>
              <w:rPr>
                <w:rFonts w:hAnsi="宋体" w:cs="宋体"/>
                <w:sz w:val="20"/>
              </w:rPr>
            </w:pPr>
            <w:r>
              <w:rPr>
                <w:rFonts w:hAnsi="宋体" w:cs="宋体"/>
                <w:sz w:val="20"/>
              </w:rPr>
              <w:t>2、电源 工作电压 100-240V，50-60Hz，最大功率  ≤240W 待机功率 5W</w:t>
            </w:r>
          </w:p>
          <w:p>
            <w:pPr>
              <w:widowControl/>
              <w:jc w:val="left"/>
              <w:rPr>
                <w:rFonts w:hAnsi="宋体" w:cs="宋体"/>
                <w:sz w:val="20"/>
              </w:rPr>
            </w:pPr>
            <w:r>
              <w:rPr>
                <w:rFonts w:hAnsi="宋体" w:cs="宋体"/>
                <w:sz w:val="20"/>
              </w:rPr>
              <w:t>3、环境要求 工作温度 0℃～50℃ 工作湿度 10%～90%，储藏温度 -20℃～60℃储藏湿度 10%～90%</w:t>
            </w:r>
          </w:p>
          <w:p>
            <w:pPr>
              <w:widowControl/>
              <w:jc w:val="left"/>
              <w:rPr>
                <w:rFonts w:hAnsi="宋体" w:cs="宋体"/>
                <w:sz w:val="20"/>
              </w:rPr>
            </w:pPr>
            <w:r>
              <w:rPr>
                <w:rFonts w:hAnsi="宋体" w:cs="宋体"/>
                <w:sz w:val="20"/>
              </w:rPr>
              <w:t>4、输入出接口满足USB口 1组（仅固件升级用，RS232输入1组，RS232输出2组， HDMI接口1组，VGA1组，DVI1组 ，复合视频1组， IR1组</w:t>
            </w:r>
          </w:p>
        </w:tc>
        <w:tc>
          <w:tcPr>
            <w:tcW w:w="950" w:type="dxa"/>
            <w:shd w:val="clear" w:color="auto" w:fill="auto"/>
            <w:vAlign w:val="center"/>
          </w:tcPr>
          <w:p>
            <w:pPr>
              <w:widowControl/>
              <w:jc w:val="center"/>
              <w:rPr>
                <w:rFonts w:ascii="Calibri" w:hAnsi="Calibri" w:cs="Calibri"/>
                <w:sz w:val="20"/>
              </w:rPr>
            </w:pPr>
            <w:r>
              <w:rPr>
                <w:rFonts w:ascii="Calibri" w:hAnsi="Calibri" w:cs="Calibri"/>
                <w:sz w:val="20"/>
              </w:rPr>
              <w:t>2</w:t>
            </w:r>
          </w:p>
        </w:tc>
        <w:tc>
          <w:tcPr>
            <w:tcW w:w="1026" w:type="dxa"/>
            <w:shd w:val="clear" w:color="auto" w:fill="auto"/>
            <w:vAlign w:val="center"/>
          </w:tcPr>
          <w:p>
            <w:pPr>
              <w:widowControl/>
              <w:jc w:val="center"/>
              <w:rPr>
                <w:rFonts w:hAnsi="宋体" w:cs="宋体"/>
                <w:sz w:val="20"/>
              </w:rPr>
            </w:pPr>
            <w:r>
              <w:rPr>
                <w:rFonts w:hint="eastAsia" w:hAnsi="宋体" w:cs="宋体"/>
                <w:sz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szCs w:val="21"/>
              </w:rPr>
            </w:pPr>
            <w:r>
              <w:rPr>
                <w:rFonts w:ascii="Calibri" w:hAnsi="Calibri" w:cs="Calibri"/>
                <w:szCs w:val="21"/>
              </w:rPr>
              <w:t>8</w:t>
            </w:r>
          </w:p>
        </w:tc>
        <w:tc>
          <w:tcPr>
            <w:tcW w:w="2067" w:type="dxa"/>
            <w:shd w:val="clear" w:color="auto" w:fill="auto"/>
            <w:vAlign w:val="center"/>
          </w:tcPr>
          <w:p>
            <w:pPr>
              <w:widowControl/>
              <w:jc w:val="center"/>
              <w:rPr>
                <w:rFonts w:hAnsi="宋体" w:cs="宋体"/>
                <w:sz w:val="20"/>
              </w:rPr>
            </w:pPr>
            <w:r>
              <w:rPr>
                <w:rFonts w:hint="eastAsia" w:hAnsi="宋体" w:cs="宋体"/>
                <w:sz w:val="20"/>
              </w:rPr>
              <w:t>定制前维护液压支架</w:t>
            </w:r>
          </w:p>
        </w:tc>
        <w:tc>
          <w:tcPr>
            <w:tcW w:w="3442" w:type="dxa"/>
            <w:shd w:val="clear" w:color="auto" w:fill="auto"/>
            <w:vAlign w:val="center"/>
          </w:tcPr>
          <w:p>
            <w:pPr>
              <w:widowControl/>
              <w:jc w:val="center"/>
              <w:rPr>
                <w:rFonts w:hAnsi="宋体" w:cs="宋体"/>
                <w:sz w:val="20"/>
              </w:rPr>
            </w:pPr>
            <w:r>
              <w:rPr>
                <w:rFonts w:hint="eastAsia" w:hAnsi="宋体" w:cs="宋体"/>
                <w:sz w:val="20"/>
              </w:rPr>
              <w:t>支架满足</w:t>
            </w:r>
            <w:r>
              <w:rPr>
                <w:rFonts w:hAnsi="宋体" w:cs="宋体"/>
                <w:sz w:val="20"/>
              </w:rPr>
              <w:t>55寸超窄边液晶单元安装及后期维护</w:t>
            </w:r>
          </w:p>
        </w:tc>
        <w:tc>
          <w:tcPr>
            <w:tcW w:w="950" w:type="dxa"/>
            <w:shd w:val="clear" w:color="auto" w:fill="auto"/>
            <w:vAlign w:val="center"/>
          </w:tcPr>
          <w:p>
            <w:pPr>
              <w:widowControl/>
              <w:jc w:val="center"/>
              <w:rPr>
                <w:rFonts w:ascii="Calibri" w:hAnsi="Calibri" w:cs="Calibri"/>
                <w:sz w:val="20"/>
              </w:rPr>
            </w:pPr>
            <w:r>
              <w:rPr>
                <w:rFonts w:ascii="Calibri" w:hAnsi="Calibri" w:cs="Calibri"/>
                <w:sz w:val="20"/>
              </w:rPr>
              <w:t>2</w:t>
            </w:r>
          </w:p>
        </w:tc>
        <w:tc>
          <w:tcPr>
            <w:tcW w:w="1026" w:type="dxa"/>
            <w:shd w:val="clear" w:color="auto" w:fill="auto"/>
            <w:vAlign w:val="center"/>
          </w:tcPr>
          <w:p>
            <w:pPr>
              <w:widowControl/>
              <w:jc w:val="center"/>
              <w:rPr>
                <w:rFonts w:hAnsi="宋体" w:cs="宋体"/>
                <w:sz w:val="20"/>
              </w:rPr>
            </w:pPr>
            <w:r>
              <w:rPr>
                <w:rFonts w:hint="eastAsia" w:hAnsi="宋体" w:cs="宋体"/>
                <w:sz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szCs w:val="21"/>
              </w:rPr>
            </w:pPr>
            <w:r>
              <w:rPr>
                <w:rFonts w:ascii="Calibri" w:hAnsi="Calibri" w:cs="Calibri"/>
                <w:szCs w:val="21"/>
              </w:rPr>
              <w:t>9</w:t>
            </w:r>
          </w:p>
        </w:tc>
        <w:tc>
          <w:tcPr>
            <w:tcW w:w="2067" w:type="dxa"/>
            <w:shd w:val="clear" w:color="auto" w:fill="auto"/>
            <w:vAlign w:val="center"/>
          </w:tcPr>
          <w:p>
            <w:pPr>
              <w:widowControl/>
              <w:jc w:val="center"/>
              <w:rPr>
                <w:rFonts w:hAnsi="宋体" w:cs="宋体"/>
                <w:sz w:val="20"/>
              </w:rPr>
            </w:pPr>
            <w:r>
              <w:rPr>
                <w:rFonts w:hint="eastAsia" w:hAnsi="宋体" w:cs="宋体"/>
                <w:sz w:val="20"/>
              </w:rPr>
              <w:t>半球监控摄像头</w:t>
            </w:r>
          </w:p>
        </w:tc>
        <w:tc>
          <w:tcPr>
            <w:tcW w:w="3442" w:type="dxa"/>
            <w:shd w:val="clear" w:color="auto" w:fill="auto"/>
            <w:vAlign w:val="center"/>
          </w:tcPr>
          <w:p>
            <w:pPr>
              <w:widowControl/>
              <w:jc w:val="left"/>
              <w:rPr>
                <w:rFonts w:hAnsi="宋体" w:cs="宋体"/>
                <w:sz w:val="20"/>
              </w:rPr>
            </w:pPr>
            <w:r>
              <w:rPr>
                <w:rFonts w:hint="eastAsia" w:hAnsi="宋体" w:cs="宋体"/>
                <w:sz w:val="20"/>
              </w:rPr>
              <w:t>1、产品外形：半球式                                                          2、成像色彩：日间模式：彩色，夜间模式：黑白                               3、产品满足200万像素，采用高性能两百万像素1/2.8英寸CMOS图像传感器，低照度效果好，图像清晰度高</w:t>
            </w:r>
            <w:r>
              <w:rPr>
                <w:rFonts w:hint="eastAsia" w:hAnsi="宋体" w:cs="宋体"/>
                <w:sz w:val="20"/>
              </w:rPr>
              <w:br w:type="textWrapping"/>
            </w:r>
            <w:r>
              <w:rPr>
                <w:rFonts w:hint="eastAsia" w:hAnsi="宋体" w:cs="宋体"/>
                <w:sz w:val="20"/>
              </w:rPr>
              <w:t>可输出200万(1920×1080)@60fps                                             4、支持H.265编码，压缩比高，超低码流支持走廊模式，宽动态，3D降噪，强光抑制，背光补偿，数字水印，适用不同监控环境支持ROI，SVC，SMART H.264/H.265，灵活编码                                                                 5、适用不同带宽和存储环境，最大红外监控距离20米，支持SD卡，SD卡空间不足，SD卡出错，网络断开，IP冲突，移动检测，视频遮挡，区域入侵，绊线入侵，物品遗留，物品搬移，场景变更，音频异常侦测，人脸侦测，支持128G SD卡，内置MIC</w:t>
            </w:r>
            <w:r>
              <w:rPr>
                <w:rFonts w:hint="eastAsia" w:hAnsi="宋体" w:cs="宋体"/>
                <w:sz w:val="20"/>
              </w:rPr>
              <w:br w:type="textWrapping"/>
            </w:r>
            <w:r>
              <w:rPr>
                <w:rFonts w:hint="eastAsia" w:hAnsi="宋体" w:cs="宋体"/>
                <w:sz w:val="20"/>
              </w:rPr>
              <w:t>4、电源：DC12V/POE供电方式,方便工程安装</w:t>
            </w:r>
            <w:r>
              <w:rPr>
                <w:rFonts w:hint="eastAsia" w:hAnsi="宋体" w:cs="宋体"/>
                <w:sz w:val="20"/>
              </w:rPr>
              <w:br w:type="textWrapping"/>
            </w:r>
            <w:r>
              <w:rPr>
                <w:rFonts w:hint="eastAsia" w:hAnsi="宋体" w:cs="宋体"/>
                <w:sz w:val="20"/>
              </w:rPr>
              <w:t>6、防护等级：支持IP67，IK10防护等级</w:t>
            </w:r>
          </w:p>
        </w:tc>
        <w:tc>
          <w:tcPr>
            <w:tcW w:w="950" w:type="dxa"/>
            <w:shd w:val="clear" w:color="auto" w:fill="auto"/>
            <w:vAlign w:val="center"/>
          </w:tcPr>
          <w:p>
            <w:pPr>
              <w:widowControl/>
              <w:jc w:val="center"/>
              <w:rPr>
                <w:rFonts w:ascii="Calibri" w:hAnsi="Calibri" w:cs="Calibri"/>
                <w:sz w:val="20"/>
              </w:rPr>
            </w:pPr>
            <w:r>
              <w:rPr>
                <w:rFonts w:ascii="Calibri" w:hAnsi="Calibri" w:cs="Calibri"/>
                <w:sz w:val="20"/>
              </w:rPr>
              <w:t>6</w:t>
            </w:r>
          </w:p>
        </w:tc>
        <w:tc>
          <w:tcPr>
            <w:tcW w:w="1026" w:type="dxa"/>
            <w:shd w:val="clear" w:color="auto" w:fill="auto"/>
            <w:vAlign w:val="center"/>
          </w:tcPr>
          <w:p>
            <w:pPr>
              <w:widowControl/>
              <w:jc w:val="center"/>
              <w:rPr>
                <w:rFonts w:hAnsi="宋体" w:cs="宋体"/>
                <w:sz w:val="20"/>
              </w:rPr>
            </w:pPr>
            <w:r>
              <w:rPr>
                <w:rFonts w:hint="eastAsia" w:hAnsi="宋体" w:cs="宋体"/>
                <w:sz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szCs w:val="21"/>
              </w:rPr>
            </w:pPr>
            <w:r>
              <w:rPr>
                <w:rFonts w:ascii="Calibri" w:hAnsi="Calibri" w:cs="Calibri"/>
                <w:szCs w:val="21"/>
              </w:rPr>
              <w:t>10</w:t>
            </w:r>
          </w:p>
        </w:tc>
        <w:tc>
          <w:tcPr>
            <w:tcW w:w="2067" w:type="dxa"/>
            <w:shd w:val="clear" w:color="auto" w:fill="auto"/>
            <w:vAlign w:val="center"/>
          </w:tcPr>
          <w:p>
            <w:pPr>
              <w:widowControl/>
              <w:jc w:val="center"/>
              <w:rPr>
                <w:rFonts w:hAnsi="宋体" w:cs="宋体"/>
                <w:sz w:val="20"/>
              </w:rPr>
            </w:pPr>
            <w:r>
              <w:rPr>
                <w:rFonts w:hint="eastAsia" w:hAnsi="宋体" w:cs="宋体"/>
                <w:sz w:val="20"/>
              </w:rPr>
              <w:t>枪机</w:t>
            </w:r>
          </w:p>
        </w:tc>
        <w:tc>
          <w:tcPr>
            <w:tcW w:w="3442" w:type="dxa"/>
            <w:shd w:val="clear" w:color="auto" w:fill="auto"/>
            <w:vAlign w:val="center"/>
          </w:tcPr>
          <w:p>
            <w:pPr>
              <w:widowControl/>
              <w:jc w:val="left"/>
              <w:rPr>
                <w:rFonts w:hAnsi="宋体" w:cs="宋体"/>
                <w:sz w:val="20"/>
              </w:rPr>
            </w:pPr>
            <w:r>
              <w:rPr>
                <w:rFonts w:hint="eastAsia" w:hAnsi="宋体" w:cs="宋体"/>
                <w:sz w:val="20"/>
              </w:rPr>
              <w:t>1、产品外形：枪式                                                   2、成像色彩：日间模式：彩色，夜间模式：黑白                               3、产品满足200万像素，采用高性能两百万像素1/2.8英寸CMOS图像传感器，低照度效果好，图像清晰度高</w:t>
            </w:r>
            <w:r>
              <w:rPr>
                <w:rFonts w:hint="eastAsia" w:hAnsi="宋体" w:cs="宋体"/>
                <w:sz w:val="20"/>
              </w:rPr>
              <w:br w:type="textWrapping"/>
            </w:r>
            <w:r>
              <w:rPr>
                <w:rFonts w:hint="eastAsia" w:hAnsi="宋体" w:cs="宋体"/>
                <w:sz w:val="20"/>
              </w:rPr>
              <w:t>可输出200万(1920×1080)@60fps                                             4、支持H.265编码，压缩比高，超低码流支持走廊模式，宽动态，3D降噪，强光抑制，背光补偿，数字水印，适用不同监控环境支持ROI，SVC，SMART H.264/H.265，灵活编码                                                                 5、适用不同带宽和存储环境，最大红外监控距离20米，支持SD卡，SD卡空间不足，SD卡出错，网络断开，IP冲突，移动检测，视频遮挡，区域入侵，绊线入侵，物品遗留，物品搬移，场景变更，音频异常侦测，人脸侦测，支持128G SD卡，内置MIC</w:t>
            </w:r>
            <w:r>
              <w:rPr>
                <w:rFonts w:hint="eastAsia" w:hAnsi="宋体" w:cs="宋体"/>
                <w:sz w:val="20"/>
              </w:rPr>
              <w:br w:type="textWrapping"/>
            </w:r>
            <w:r>
              <w:rPr>
                <w:rFonts w:hint="eastAsia" w:hAnsi="宋体" w:cs="宋体"/>
                <w:sz w:val="20"/>
              </w:rPr>
              <w:t>4、电源：DC12V/POE供电方式,方便工程安装</w:t>
            </w:r>
            <w:r>
              <w:rPr>
                <w:rFonts w:hint="eastAsia" w:hAnsi="宋体" w:cs="宋体"/>
                <w:sz w:val="20"/>
              </w:rPr>
              <w:br w:type="textWrapping"/>
            </w:r>
            <w:r>
              <w:rPr>
                <w:rFonts w:hint="eastAsia" w:hAnsi="宋体" w:cs="宋体"/>
                <w:sz w:val="20"/>
              </w:rPr>
              <w:t>6、防护等级：支持IP67，IK10防护等级</w:t>
            </w:r>
          </w:p>
        </w:tc>
        <w:tc>
          <w:tcPr>
            <w:tcW w:w="950" w:type="dxa"/>
            <w:shd w:val="clear" w:color="auto" w:fill="auto"/>
            <w:vAlign w:val="center"/>
          </w:tcPr>
          <w:p>
            <w:pPr>
              <w:widowControl/>
              <w:jc w:val="center"/>
              <w:rPr>
                <w:rFonts w:ascii="Calibri" w:hAnsi="Calibri" w:cs="Calibri"/>
                <w:sz w:val="20"/>
              </w:rPr>
            </w:pPr>
            <w:r>
              <w:rPr>
                <w:rFonts w:ascii="Calibri" w:hAnsi="Calibri" w:cs="Calibri"/>
                <w:sz w:val="20"/>
              </w:rPr>
              <w:t>6</w:t>
            </w:r>
          </w:p>
        </w:tc>
        <w:tc>
          <w:tcPr>
            <w:tcW w:w="1026" w:type="dxa"/>
            <w:shd w:val="clear" w:color="auto" w:fill="auto"/>
            <w:vAlign w:val="center"/>
          </w:tcPr>
          <w:p>
            <w:pPr>
              <w:widowControl/>
              <w:jc w:val="center"/>
              <w:rPr>
                <w:rFonts w:hAnsi="宋体" w:cs="宋体"/>
                <w:sz w:val="20"/>
              </w:rPr>
            </w:pPr>
            <w:r>
              <w:rPr>
                <w:rFonts w:hint="eastAsia" w:hAnsi="宋体" w:cs="宋体"/>
                <w:sz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szCs w:val="21"/>
              </w:rPr>
            </w:pPr>
            <w:r>
              <w:rPr>
                <w:rFonts w:ascii="Calibri" w:hAnsi="Calibri" w:cs="Calibri"/>
                <w:szCs w:val="21"/>
              </w:rPr>
              <w:t>11</w:t>
            </w:r>
          </w:p>
        </w:tc>
        <w:tc>
          <w:tcPr>
            <w:tcW w:w="2067" w:type="dxa"/>
            <w:shd w:val="clear" w:color="auto" w:fill="auto"/>
            <w:vAlign w:val="center"/>
          </w:tcPr>
          <w:p>
            <w:pPr>
              <w:widowControl/>
              <w:jc w:val="center"/>
              <w:rPr>
                <w:rFonts w:hAnsi="宋体" w:cs="宋体"/>
                <w:sz w:val="20"/>
              </w:rPr>
            </w:pPr>
            <w:r>
              <w:rPr>
                <w:rFonts w:hint="eastAsia" w:hAnsi="宋体" w:cs="宋体"/>
                <w:sz w:val="20"/>
              </w:rPr>
              <w:t>支架</w:t>
            </w:r>
          </w:p>
        </w:tc>
        <w:tc>
          <w:tcPr>
            <w:tcW w:w="3442" w:type="dxa"/>
            <w:shd w:val="clear" w:color="auto" w:fill="auto"/>
          </w:tcPr>
          <w:p>
            <w:pPr>
              <w:widowControl/>
              <w:jc w:val="left"/>
              <w:rPr>
                <w:rFonts w:hAnsi="宋体" w:cs="宋体"/>
                <w:sz w:val="20"/>
              </w:rPr>
            </w:pPr>
            <w:r>
              <w:rPr>
                <w:rFonts w:hAnsi="宋体" w:cs="宋体"/>
                <w:sz w:val="20"/>
              </w:rPr>
              <w:t>1、全金属材质，表面喷涂防腐材质                                          2、支持角度自由调节</w:t>
            </w:r>
          </w:p>
        </w:tc>
        <w:tc>
          <w:tcPr>
            <w:tcW w:w="950" w:type="dxa"/>
            <w:shd w:val="clear" w:color="auto" w:fill="auto"/>
            <w:vAlign w:val="center"/>
          </w:tcPr>
          <w:p>
            <w:pPr>
              <w:widowControl/>
              <w:jc w:val="center"/>
              <w:rPr>
                <w:rFonts w:ascii="Calibri" w:hAnsi="Calibri" w:cs="Calibri"/>
                <w:sz w:val="20"/>
              </w:rPr>
            </w:pPr>
            <w:r>
              <w:rPr>
                <w:rFonts w:ascii="Calibri" w:hAnsi="Calibri" w:cs="Calibri"/>
                <w:sz w:val="20"/>
              </w:rPr>
              <w:t>6</w:t>
            </w:r>
          </w:p>
        </w:tc>
        <w:tc>
          <w:tcPr>
            <w:tcW w:w="1026" w:type="dxa"/>
            <w:shd w:val="clear" w:color="auto" w:fill="auto"/>
            <w:vAlign w:val="center"/>
          </w:tcPr>
          <w:p>
            <w:pPr>
              <w:widowControl/>
              <w:jc w:val="center"/>
              <w:rPr>
                <w:rFonts w:hAnsi="宋体" w:cs="宋体"/>
                <w:sz w:val="20"/>
              </w:rPr>
            </w:pPr>
            <w:r>
              <w:rPr>
                <w:rFonts w:hint="eastAsia" w:hAnsi="宋体" w:cs="宋体"/>
                <w:sz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szCs w:val="21"/>
              </w:rPr>
            </w:pPr>
            <w:r>
              <w:rPr>
                <w:rFonts w:ascii="Calibri" w:hAnsi="Calibri" w:cs="Calibri"/>
                <w:szCs w:val="21"/>
              </w:rPr>
              <w:t>12</w:t>
            </w:r>
          </w:p>
        </w:tc>
        <w:tc>
          <w:tcPr>
            <w:tcW w:w="2067" w:type="dxa"/>
            <w:shd w:val="clear" w:color="auto" w:fill="auto"/>
            <w:vAlign w:val="center"/>
          </w:tcPr>
          <w:p>
            <w:pPr>
              <w:widowControl/>
              <w:jc w:val="center"/>
              <w:rPr>
                <w:rFonts w:hAnsi="宋体" w:cs="宋体"/>
                <w:sz w:val="20"/>
              </w:rPr>
            </w:pPr>
            <w:r>
              <w:rPr>
                <w:rFonts w:hint="eastAsia" w:hAnsi="宋体" w:cs="宋体"/>
                <w:sz w:val="20"/>
              </w:rPr>
              <w:t>电源</w:t>
            </w:r>
          </w:p>
        </w:tc>
        <w:tc>
          <w:tcPr>
            <w:tcW w:w="3442" w:type="dxa"/>
            <w:shd w:val="clear" w:color="auto" w:fill="auto"/>
          </w:tcPr>
          <w:p>
            <w:pPr>
              <w:widowControl/>
              <w:jc w:val="left"/>
              <w:rPr>
                <w:rFonts w:hAnsi="宋体" w:cs="宋体"/>
                <w:sz w:val="20"/>
              </w:rPr>
            </w:pPr>
            <w:r>
              <w:rPr>
                <w:rFonts w:hAnsi="宋体" w:cs="宋体"/>
                <w:sz w:val="20"/>
              </w:rPr>
              <w:t>1、输入110-240V，输出DC12V,2A                                                 2、接口：5.5mmX2.1,内外                                                   3、输入频率：50/60HZ，0.8A                                                4、凡供电设备为12V,2A且5.5mmX2.1DC电源接口的均可使用</w:t>
            </w:r>
          </w:p>
        </w:tc>
        <w:tc>
          <w:tcPr>
            <w:tcW w:w="950" w:type="dxa"/>
            <w:shd w:val="clear" w:color="auto" w:fill="auto"/>
            <w:vAlign w:val="center"/>
          </w:tcPr>
          <w:p>
            <w:pPr>
              <w:widowControl/>
              <w:jc w:val="center"/>
              <w:rPr>
                <w:rFonts w:ascii="Calibri" w:hAnsi="Calibri" w:cs="Calibri"/>
                <w:sz w:val="20"/>
              </w:rPr>
            </w:pPr>
            <w:r>
              <w:rPr>
                <w:rFonts w:ascii="Calibri" w:hAnsi="Calibri" w:cs="Calibri"/>
                <w:sz w:val="20"/>
              </w:rPr>
              <w:t>8</w:t>
            </w:r>
          </w:p>
        </w:tc>
        <w:tc>
          <w:tcPr>
            <w:tcW w:w="1026" w:type="dxa"/>
            <w:shd w:val="clear" w:color="auto" w:fill="auto"/>
            <w:vAlign w:val="center"/>
          </w:tcPr>
          <w:p>
            <w:pPr>
              <w:widowControl/>
              <w:jc w:val="center"/>
              <w:rPr>
                <w:rFonts w:hAnsi="宋体" w:cs="宋体"/>
                <w:sz w:val="20"/>
              </w:rPr>
            </w:pPr>
            <w:r>
              <w:rPr>
                <w:rFonts w:hint="eastAsia" w:hAnsi="宋体" w:cs="宋体"/>
                <w:sz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szCs w:val="21"/>
              </w:rPr>
            </w:pPr>
            <w:r>
              <w:rPr>
                <w:rFonts w:ascii="Calibri" w:hAnsi="Calibri" w:cs="Calibri"/>
                <w:szCs w:val="21"/>
              </w:rPr>
              <w:t>13</w:t>
            </w:r>
          </w:p>
        </w:tc>
        <w:tc>
          <w:tcPr>
            <w:tcW w:w="2067" w:type="dxa"/>
            <w:shd w:val="clear" w:color="auto" w:fill="auto"/>
            <w:vAlign w:val="center"/>
          </w:tcPr>
          <w:p>
            <w:pPr>
              <w:widowControl/>
              <w:jc w:val="center"/>
              <w:rPr>
                <w:rFonts w:hAnsi="宋体" w:cs="宋体"/>
                <w:sz w:val="20"/>
              </w:rPr>
            </w:pPr>
            <w:r>
              <w:rPr>
                <w:rFonts w:hint="eastAsia" w:hAnsi="宋体" w:cs="宋体"/>
                <w:sz w:val="20"/>
              </w:rPr>
              <w:t>安装调试及辅材</w:t>
            </w:r>
          </w:p>
        </w:tc>
        <w:tc>
          <w:tcPr>
            <w:tcW w:w="3442" w:type="dxa"/>
            <w:shd w:val="clear" w:color="auto" w:fill="auto"/>
            <w:vAlign w:val="center"/>
          </w:tcPr>
          <w:p>
            <w:pPr>
              <w:widowControl/>
              <w:jc w:val="center"/>
              <w:rPr>
                <w:rFonts w:hAnsi="宋体" w:cs="宋体"/>
                <w:sz w:val="20"/>
              </w:rPr>
            </w:pPr>
            <w:r>
              <w:rPr>
                <w:rFonts w:hint="eastAsia" w:hAnsi="宋体" w:cs="宋体"/>
                <w:sz w:val="20"/>
              </w:rPr>
              <w:t>定制</w:t>
            </w:r>
          </w:p>
        </w:tc>
        <w:tc>
          <w:tcPr>
            <w:tcW w:w="950" w:type="dxa"/>
            <w:shd w:val="clear" w:color="auto" w:fill="auto"/>
            <w:vAlign w:val="center"/>
          </w:tcPr>
          <w:p>
            <w:pPr>
              <w:widowControl/>
              <w:jc w:val="center"/>
              <w:rPr>
                <w:rFonts w:ascii="Calibri" w:hAnsi="Calibri" w:cs="Calibri"/>
                <w:sz w:val="20"/>
              </w:rPr>
            </w:pPr>
            <w:r>
              <w:rPr>
                <w:rFonts w:ascii="Calibri" w:hAnsi="Calibri" w:cs="Calibri"/>
                <w:sz w:val="20"/>
              </w:rPr>
              <w:t>1</w:t>
            </w:r>
          </w:p>
        </w:tc>
        <w:tc>
          <w:tcPr>
            <w:tcW w:w="1026" w:type="dxa"/>
            <w:shd w:val="clear" w:color="auto" w:fill="auto"/>
            <w:vAlign w:val="center"/>
          </w:tcPr>
          <w:p>
            <w:pPr>
              <w:widowControl/>
              <w:jc w:val="center"/>
              <w:rPr>
                <w:rFonts w:hAnsi="宋体" w:cs="宋体"/>
                <w:sz w:val="20"/>
              </w:rPr>
            </w:pPr>
            <w:r>
              <w:rPr>
                <w:rFonts w:hint="eastAsia" w:hAnsi="宋体" w:cs="宋体"/>
                <w:sz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361" w:type="dxa"/>
            <w:gridSpan w:val="5"/>
            <w:shd w:val="clear" w:color="auto" w:fill="auto"/>
            <w:vAlign w:val="center"/>
          </w:tcPr>
          <w:p>
            <w:pPr>
              <w:widowControl/>
              <w:jc w:val="center"/>
              <w:rPr>
                <w:rFonts w:hAnsi="宋体" w:cs="宋体"/>
                <w:b/>
                <w:bCs/>
                <w:sz w:val="20"/>
              </w:rPr>
            </w:pPr>
            <w:r>
              <w:rPr>
                <w:rFonts w:hint="eastAsia" w:hAnsi="宋体" w:cs="宋体"/>
                <w:b/>
                <w:bCs/>
                <w:sz w:val="20"/>
              </w:rPr>
              <w:t>二、设备端口强弱电施工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shd w:val="clear" w:color="auto" w:fill="auto"/>
            <w:vAlign w:val="center"/>
          </w:tcPr>
          <w:p>
            <w:pPr>
              <w:widowControl/>
              <w:jc w:val="center"/>
              <w:rPr>
                <w:rFonts w:ascii="Calibri" w:hAnsi="Calibri" w:cs="Calibri"/>
                <w:szCs w:val="21"/>
              </w:rPr>
            </w:pPr>
            <w:r>
              <w:rPr>
                <w:rFonts w:hint="eastAsia" w:ascii="Calibri" w:hAnsi="Calibri" w:cs="Calibri"/>
                <w:szCs w:val="21"/>
              </w:rPr>
              <w:t>1</w:t>
            </w:r>
          </w:p>
        </w:tc>
        <w:tc>
          <w:tcPr>
            <w:tcW w:w="2067" w:type="dxa"/>
            <w:shd w:val="clear" w:color="auto" w:fill="auto"/>
            <w:vAlign w:val="center"/>
          </w:tcPr>
          <w:p>
            <w:pPr>
              <w:widowControl/>
              <w:jc w:val="center"/>
              <w:rPr>
                <w:rFonts w:hAnsi="宋体" w:cs="宋体"/>
                <w:sz w:val="20"/>
              </w:rPr>
            </w:pPr>
            <w:r>
              <w:rPr>
                <w:rFonts w:hint="eastAsia" w:hAnsi="宋体" w:cs="宋体"/>
                <w:sz w:val="20"/>
              </w:rPr>
              <w:t>设备端口强弱电施工</w:t>
            </w:r>
          </w:p>
        </w:tc>
        <w:tc>
          <w:tcPr>
            <w:tcW w:w="3442" w:type="dxa"/>
            <w:shd w:val="clear" w:color="auto" w:fill="auto"/>
            <w:vAlign w:val="center"/>
          </w:tcPr>
          <w:p>
            <w:pPr>
              <w:widowControl/>
              <w:jc w:val="center"/>
              <w:rPr>
                <w:rFonts w:hAnsi="宋体" w:cs="宋体"/>
                <w:sz w:val="20"/>
              </w:rPr>
            </w:pPr>
            <w:r>
              <w:rPr>
                <w:rStyle w:val="19"/>
              </w:rPr>
              <w:t>含面板</w:t>
            </w:r>
            <w:r>
              <w:rPr>
                <w:rStyle w:val="19"/>
                <w:rFonts w:hint="eastAsia"/>
              </w:rPr>
              <w:t>、</w:t>
            </w:r>
            <w:r>
              <w:rPr>
                <w:rStyle w:val="19"/>
              </w:rPr>
              <w:t>线槽</w:t>
            </w:r>
            <w:r>
              <w:rPr>
                <w:rStyle w:val="19"/>
                <w:rFonts w:hint="eastAsia"/>
              </w:rPr>
              <w:t>、强电材料、弱电材料</w:t>
            </w:r>
            <w:r>
              <w:rPr>
                <w:rStyle w:val="19"/>
              </w:rPr>
              <w:t>等材料</w:t>
            </w:r>
            <w:r>
              <w:rPr>
                <w:rStyle w:val="19"/>
                <w:rFonts w:hint="eastAsia"/>
              </w:rPr>
              <w:t>，包工包料，石膏板夹层暗线。</w:t>
            </w:r>
          </w:p>
        </w:tc>
        <w:tc>
          <w:tcPr>
            <w:tcW w:w="950" w:type="dxa"/>
            <w:shd w:val="clear" w:color="auto" w:fill="auto"/>
            <w:vAlign w:val="center"/>
          </w:tcPr>
          <w:p>
            <w:pPr>
              <w:widowControl/>
              <w:jc w:val="center"/>
              <w:rPr>
                <w:rFonts w:ascii="Calibri" w:hAnsi="Calibri" w:cs="Calibri"/>
                <w:sz w:val="20"/>
              </w:rPr>
            </w:pPr>
            <w:r>
              <w:rPr>
                <w:rFonts w:hint="eastAsia" w:ascii="Calibri" w:hAnsi="Calibri" w:cs="Calibri"/>
                <w:sz w:val="20"/>
              </w:rPr>
              <w:t>3</w:t>
            </w:r>
            <w:r>
              <w:rPr>
                <w:rFonts w:ascii="Calibri" w:hAnsi="Calibri" w:cs="Calibri"/>
                <w:sz w:val="20"/>
              </w:rPr>
              <w:t>6</w:t>
            </w:r>
          </w:p>
        </w:tc>
        <w:tc>
          <w:tcPr>
            <w:tcW w:w="1026" w:type="dxa"/>
            <w:shd w:val="clear" w:color="auto" w:fill="auto"/>
            <w:vAlign w:val="center"/>
          </w:tcPr>
          <w:p>
            <w:pPr>
              <w:widowControl/>
              <w:jc w:val="center"/>
              <w:rPr>
                <w:rFonts w:hAnsi="宋体" w:cs="宋体"/>
                <w:sz w:val="20"/>
              </w:rPr>
            </w:pPr>
            <w:r>
              <w:rPr>
                <w:rFonts w:hint="eastAsia" w:hAnsi="宋体" w:cs="宋体"/>
                <w:sz w:val="20"/>
              </w:rPr>
              <w:t>点位</w:t>
            </w:r>
          </w:p>
        </w:tc>
      </w:tr>
    </w:tbl>
    <w:p>
      <w:pPr>
        <w:pStyle w:val="2"/>
        <w:spacing w:line="600" w:lineRule="auto"/>
        <w:rPr>
          <w:szCs w:val="24"/>
        </w:rPr>
      </w:pPr>
    </w:p>
    <w:p>
      <w:pPr>
        <w:pStyle w:val="2"/>
        <w:spacing w:line="600" w:lineRule="auto"/>
        <w:rPr>
          <w:szCs w:val="24"/>
        </w:rPr>
      </w:pPr>
    </w:p>
    <w:p>
      <w:pPr>
        <w:pStyle w:val="2"/>
        <w:spacing w:line="600" w:lineRule="auto"/>
        <w:rPr>
          <w:szCs w:val="24"/>
        </w:rPr>
      </w:pPr>
    </w:p>
    <w:p>
      <w:pPr>
        <w:pStyle w:val="2"/>
        <w:spacing w:line="600" w:lineRule="auto"/>
        <w:rPr>
          <w:szCs w:val="24"/>
        </w:rPr>
      </w:pPr>
    </w:p>
    <w:p>
      <w:pPr>
        <w:pStyle w:val="2"/>
        <w:spacing w:line="600" w:lineRule="auto"/>
        <w:rPr>
          <w:szCs w:val="24"/>
        </w:rPr>
      </w:pPr>
    </w:p>
    <w:p>
      <w:pPr>
        <w:pStyle w:val="2"/>
        <w:spacing w:line="600" w:lineRule="auto"/>
        <w:rPr>
          <w:szCs w:val="24"/>
        </w:rPr>
      </w:pPr>
    </w:p>
    <w:p>
      <w:pPr>
        <w:pStyle w:val="2"/>
        <w:spacing w:line="600" w:lineRule="auto"/>
        <w:rPr>
          <w:szCs w:val="24"/>
        </w:rPr>
      </w:pPr>
    </w:p>
    <w:p>
      <w:pPr>
        <w:pStyle w:val="2"/>
        <w:spacing w:line="600" w:lineRule="auto"/>
        <w:rPr>
          <w:szCs w:val="24"/>
        </w:rPr>
      </w:pPr>
    </w:p>
    <w:p>
      <w:pPr>
        <w:pStyle w:val="2"/>
        <w:spacing w:line="600" w:lineRule="auto"/>
        <w:rPr>
          <w:szCs w:val="24"/>
        </w:rPr>
      </w:pPr>
    </w:p>
    <w:p>
      <w:pPr>
        <w:ind w:firstLine="5128" w:firstLineChars="2137"/>
        <w:rPr>
          <w:rFonts w:hAnsi="宋体" w:cs="宋体-PUA"/>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宋体-PUA">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jVmNWVmNWRiMDcyMzc5MjZkZjk5ZTg0MWZlM2IifQ=="/>
  </w:docVars>
  <w:rsids>
    <w:rsidRoot w:val="00843B18"/>
    <w:rsid w:val="00002920"/>
    <w:rsid w:val="000265E6"/>
    <w:rsid w:val="0005152C"/>
    <w:rsid w:val="000568F1"/>
    <w:rsid w:val="00077FA6"/>
    <w:rsid w:val="0008043B"/>
    <w:rsid w:val="00092A8C"/>
    <w:rsid w:val="0009414E"/>
    <w:rsid w:val="000B1430"/>
    <w:rsid w:val="000B289B"/>
    <w:rsid w:val="000D0E20"/>
    <w:rsid w:val="000F7F96"/>
    <w:rsid w:val="00116BD4"/>
    <w:rsid w:val="00131640"/>
    <w:rsid w:val="00143A26"/>
    <w:rsid w:val="00155D74"/>
    <w:rsid w:val="001714B1"/>
    <w:rsid w:val="0019016E"/>
    <w:rsid w:val="00190D8D"/>
    <w:rsid w:val="001B324F"/>
    <w:rsid w:val="001D59B9"/>
    <w:rsid w:val="00221DD5"/>
    <w:rsid w:val="0022329A"/>
    <w:rsid w:val="0023329C"/>
    <w:rsid w:val="00250CEA"/>
    <w:rsid w:val="0027027B"/>
    <w:rsid w:val="00274925"/>
    <w:rsid w:val="002811AB"/>
    <w:rsid w:val="002D2F2D"/>
    <w:rsid w:val="002D3E31"/>
    <w:rsid w:val="002E62C4"/>
    <w:rsid w:val="002F513C"/>
    <w:rsid w:val="002F5769"/>
    <w:rsid w:val="003031AA"/>
    <w:rsid w:val="003350CB"/>
    <w:rsid w:val="00345DC4"/>
    <w:rsid w:val="0039334D"/>
    <w:rsid w:val="00395212"/>
    <w:rsid w:val="003B2DF8"/>
    <w:rsid w:val="003B6A6F"/>
    <w:rsid w:val="003B6EDC"/>
    <w:rsid w:val="003D3F77"/>
    <w:rsid w:val="003E31E3"/>
    <w:rsid w:val="0041085E"/>
    <w:rsid w:val="004144F5"/>
    <w:rsid w:val="004148CE"/>
    <w:rsid w:val="00417333"/>
    <w:rsid w:val="0042725E"/>
    <w:rsid w:val="00430D98"/>
    <w:rsid w:val="0043466B"/>
    <w:rsid w:val="00447A0D"/>
    <w:rsid w:val="004507D9"/>
    <w:rsid w:val="004562DF"/>
    <w:rsid w:val="004633F9"/>
    <w:rsid w:val="00477C04"/>
    <w:rsid w:val="00480483"/>
    <w:rsid w:val="004857FD"/>
    <w:rsid w:val="004D005F"/>
    <w:rsid w:val="004F08E7"/>
    <w:rsid w:val="005037D1"/>
    <w:rsid w:val="0052342B"/>
    <w:rsid w:val="00524485"/>
    <w:rsid w:val="005349A7"/>
    <w:rsid w:val="0053706E"/>
    <w:rsid w:val="00561DDD"/>
    <w:rsid w:val="00562246"/>
    <w:rsid w:val="00564E5D"/>
    <w:rsid w:val="005915DE"/>
    <w:rsid w:val="00591E33"/>
    <w:rsid w:val="00595EA4"/>
    <w:rsid w:val="005D1587"/>
    <w:rsid w:val="005D41E6"/>
    <w:rsid w:val="005E2AE9"/>
    <w:rsid w:val="00601B18"/>
    <w:rsid w:val="00615D99"/>
    <w:rsid w:val="00625D6E"/>
    <w:rsid w:val="006561D1"/>
    <w:rsid w:val="00664581"/>
    <w:rsid w:val="00676456"/>
    <w:rsid w:val="0068654A"/>
    <w:rsid w:val="006A4BA8"/>
    <w:rsid w:val="006F3389"/>
    <w:rsid w:val="0072705E"/>
    <w:rsid w:val="00733142"/>
    <w:rsid w:val="00736E56"/>
    <w:rsid w:val="00756D37"/>
    <w:rsid w:val="0077095F"/>
    <w:rsid w:val="00783AE6"/>
    <w:rsid w:val="00791A75"/>
    <w:rsid w:val="007A1F6F"/>
    <w:rsid w:val="007A54F1"/>
    <w:rsid w:val="007D418E"/>
    <w:rsid w:val="007D4305"/>
    <w:rsid w:val="007E3376"/>
    <w:rsid w:val="007F51BC"/>
    <w:rsid w:val="00803C8F"/>
    <w:rsid w:val="0080546B"/>
    <w:rsid w:val="00843B18"/>
    <w:rsid w:val="00890511"/>
    <w:rsid w:val="008C0FB7"/>
    <w:rsid w:val="008D0172"/>
    <w:rsid w:val="00906165"/>
    <w:rsid w:val="00913D06"/>
    <w:rsid w:val="0091563A"/>
    <w:rsid w:val="00915AFC"/>
    <w:rsid w:val="00920BE1"/>
    <w:rsid w:val="0095302C"/>
    <w:rsid w:val="009551D1"/>
    <w:rsid w:val="0096068C"/>
    <w:rsid w:val="00975020"/>
    <w:rsid w:val="00975E5A"/>
    <w:rsid w:val="009830AC"/>
    <w:rsid w:val="0099366A"/>
    <w:rsid w:val="009E4FEB"/>
    <w:rsid w:val="009F33CA"/>
    <w:rsid w:val="00A2381A"/>
    <w:rsid w:val="00A45162"/>
    <w:rsid w:val="00A5209C"/>
    <w:rsid w:val="00A6057B"/>
    <w:rsid w:val="00A8764B"/>
    <w:rsid w:val="00A9264B"/>
    <w:rsid w:val="00A952C4"/>
    <w:rsid w:val="00AC5B0C"/>
    <w:rsid w:val="00AF3286"/>
    <w:rsid w:val="00B02624"/>
    <w:rsid w:val="00B37A16"/>
    <w:rsid w:val="00B77854"/>
    <w:rsid w:val="00BB1BF8"/>
    <w:rsid w:val="00BB313B"/>
    <w:rsid w:val="00C70F8E"/>
    <w:rsid w:val="00C77C47"/>
    <w:rsid w:val="00C85FB0"/>
    <w:rsid w:val="00CB4284"/>
    <w:rsid w:val="00CD630D"/>
    <w:rsid w:val="00D27918"/>
    <w:rsid w:val="00D338EA"/>
    <w:rsid w:val="00D34778"/>
    <w:rsid w:val="00D7088A"/>
    <w:rsid w:val="00D8215E"/>
    <w:rsid w:val="00D94D9B"/>
    <w:rsid w:val="00DC1212"/>
    <w:rsid w:val="00DC4B34"/>
    <w:rsid w:val="00DC593C"/>
    <w:rsid w:val="00E26175"/>
    <w:rsid w:val="00E669AC"/>
    <w:rsid w:val="00E81426"/>
    <w:rsid w:val="00E84C2D"/>
    <w:rsid w:val="00EB139A"/>
    <w:rsid w:val="00EC5CF1"/>
    <w:rsid w:val="00ED72DF"/>
    <w:rsid w:val="00EE7D0A"/>
    <w:rsid w:val="00F02281"/>
    <w:rsid w:val="00F03711"/>
    <w:rsid w:val="00F12185"/>
    <w:rsid w:val="00F178FD"/>
    <w:rsid w:val="00F20864"/>
    <w:rsid w:val="00F328ED"/>
    <w:rsid w:val="00F575DF"/>
    <w:rsid w:val="00F94FA2"/>
    <w:rsid w:val="00FA4344"/>
    <w:rsid w:val="00FC2C55"/>
    <w:rsid w:val="019B1792"/>
    <w:rsid w:val="03D05557"/>
    <w:rsid w:val="057D56B6"/>
    <w:rsid w:val="07F30435"/>
    <w:rsid w:val="08226BFD"/>
    <w:rsid w:val="08A60005"/>
    <w:rsid w:val="0C394176"/>
    <w:rsid w:val="0C8564D6"/>
    <w:rsid w:val="0E790A39"/>
    <w:rsid w:val="1481510D"/>
    <w:rsid w:val="16571760"/>
    <w:rsid w:val="1807554D"/>
    <w:rsid w:val="18342871"/>
    <w:rsid w:val="18411ED8"/>
    <w:rsid w:val="19DA3A2D"/>
    <w:rsid w:val="1AE070FF"/>
    <w:rsid w:val="1C341684"/>
    <w:rsid w:val="1D190C94"/>
    <w:rsid w:val="1F4F1C73"/>
    <w:rsid w:val="207923FE"/>
    <w:rsid w:val="20C269C6"/>
    <w:rsid w:val="20EB251E"/>
    <w:rsid w:val="24A00DDE"/>
    <w:rsid w:val="268838A1"/>
    <w:rsid w:val="26FB3F19"/>
    <w:rsid w:val="270D6142"/>
    <w:rsid w:val="27771F8F"/>
    <w:rsid w:val="280926D2"/>
    <w:rsid w:val="288F4F0C"/>
    <w:rsid w:val="2C6277EC"/>
    <w:rsid w:val="2F0E5EC8"/>
    <w:rsid w:val="2FA554FB"/>
    <w:rsid w:val="31883832"/>
    <w:rsid w:val="321C738B"/>
    <w:rsid w:val="32AC7041"/>
    <w:rsid w:val="3332427D"/>
    <w:rsid w:val="353A1ED6"/>
    <w:rsid w:val="394C76D0"/>
    <w:rsid w:val="3AB55331"/>
    <w:rsid w:val="3C772EA8"/>
    <w:rsid w:val="3CF359AA"/>
    <w:rsid w:val="3EFA7F0E"/>
    <w:rsid w:val="435335F3"/>
    <w:rsid w:val="44BC6AA8"/>
    <w:rsid w:val="45EF4A0B"/>
    <w:rsid w:val="474242B2"/>
    <w:rsid w:val="481D5806"/>
    <w:rsid w:val="4B1971DA"/>
    <w:rsid w:val="4B587B40"/>
    <w:rsid w:val="56505539"/>
    <w:rsid w:val="5703108A"/>
    <w:rsid w:val="5719360E"/>
    <w:rsid w:val="57EF4CB5"/>
    <w:rsid w:val="5B9567AD"/>
    <w:rsid w:val="5D7B4D37"/>
    <w:rsid w:val="5E1B2227"/>
    <w:rsid w:val="5EA14322"/>
    <w:rsid w:val="6114759F"/>
    <w:rsid w:val="643E5664"/>
    <w:rsid w:val="658748E7"/>
    <w:rsid w:val="67DD018E"/>
    <w:rsid w:val="6BFD2774"/>
    <w:rsid w:val="6DC256F1"/>
    <w:rsid w:val="6EDC188F"/>
    <w:rsid w:val="733257AC"/>
    <w:rsid w:val="73DB6DEB"/>
    <w:rsid w:val="7D8602B6"/>
    <w:rsid w:val="7EE8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link w:val="16"/>
    <w:qFormat/>
    <w:uiPriority w:val="99"/>
    <w:pPr>
      <w:keepNext/>
      <w:widowControl/>
      <w:numPr>
        <w:ilvl w:val="0"/>
        <w:numId w:val="1"/>
      </w:numPr>
      <w:jc w:val="center"/>
      <w:outlineLvl w:val="0"/>
    </w:pPr>
    <w:rPr>
      <w:rFonts w:ascii="黑体" w:eastAsia="黑体"/>
      <w:sz w:val="5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Cs w:val="20"/>
    </w:rPr>
  </w:style>
  <w:style w:type="paragraph" w:styleId="3">
    <w:name w:val="Body Text"/>
    <w:basedOn w:val="1"/>
    <w:qFormat/>
    <w:uiPriority w:val="0"/>
    <w:pPr>
      <w:spacing w:after="120"/>
    </w:pPr>
    <w:rPr>
      <w:szCs w:val="24"/>
    </w:rPr>
  </w:style>
  <w:style w:type="paragraph" w:styleId="5">
    <w:name w:val="Body Text Indent"/>
    <w:basedOn w:val="1"/>
    <w:next w:val="6"/>
    <w:qFormat/>
    <w:uiPriority w:val="0"/>
    <w:pPr>
      <w:spacing w:after="120"/>
      <w:ind w:left="420" w:leftChars="200"/>
    </w:pPr>
    <w:rPr>
      <w:szCs w:val="24"/>
    </w:rPr>
  </w:style>
  <w:style w:type="paragraph" w:styleId="6">
    <w:name w:val="envelope return"/>
    <w:basedOn w:val="1"/>
    <w:qFormat/>
    <w:uiPriority w:val="0"/>
    <w:pPr>
      <w:snapToGrid w:val="0"/>
    </w:pPr>
    <w:rPr>
      <w:rFonts w:ascii="Arial" w:hAnsi="Arial"/>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样式 左侧:  2 字符 + 左侧:  0.85 厘米 首行缩进:  2 字符1"/>
    <w:basedOn w:val="1"/>
    <w:qFormat/>
    <w:uiPriority w:val="0"/>
    <w:pPr>
      <w:ind w:left="482" w:firstLine="200" w:firstLineChars="200"/>
    </w:p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标题 1 Char"/>
    <w:basedOn w:val="12"/>
    <w:link w:val="4"/>
    <w:qFormat/>
    <w:uiPriority w:val="0"/>
    <w:rPr>
      <w:rFonts w:ascii="黑体" w:hAnsi="Times New Roman" w:eastAsia="黑体" w:cs="Times New Roman"/>
      <w:kern w:val="0"/>
      <w:sz w:val="52"/>
      <w:szCs w:val="20"/>
    </w:rPr>
  </w:style>
  <w:style w:type="paragraph" w:customStyle="1" w:styleId="17">
    <w:name w:val="xl31"/>
    <w:basedOn w:val="1"/>
    <w:qFormat/>
    <w:uiPriority w:val="0"/>
    <w:pPr>
      <w:widowControl/>
      <w:spacing w:before="100" w:beforeAutospacing="1" w:after="100" w:afterAutospacing="1"/>
      <w:jc w:val="center"/>
    </w:pPr>
    <w:rPr>
      <w:rFonts w:hAnsi="宋体"/>
      <w:b/>
      <w:bCs/>
      <w:sz w:val="28"/>
      <w:szCs w:val="28"/>
    </w:rPr>
  </w:style>
  <w:style w:type="paragraph" w:styleId="18">
    <w:name w:val="List Paragraph"/>
    <w:basedOn w:val="1"/>
    <w:qFormat/>
    <w:uiPriority w:val="99"/>
    <w:pPr>
      <w:ind w:firstLine="420" w:firstLineChars="200"/>
    </w:p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7BF88C-8B32-476C-A309-AB2321DFF2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1930</Words>
  <Characters>2251</Characters>
  <Lines>33</Lines>
  <Paragraphs>9</Paragraphs>
  <TotalTime>57</TotalTime>
  <ScaleCrop>false</ScaleCrop>
  <LinksUpToDate>false</LinksUpToDate>
  <CharactersWithSpaces>3428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2023-03-01T08:46:00Z</dcterms:created>
  <dc:creator>china</dc:creator>
  <cp:lastModifiedBy>鲨鱼辣椒</cp:lastModifiedBy>
  <cp:lastPrinted>2018-11-16T07:34:00Z</cp:lastPrinted>
  <dcterms:modified xsi:type="dcterms:W3CDTF">2023-03-06T02:47:24Z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D2479B18A10442E295DE4755CD60C9B4</vt:lpwstr>
  </property>
</Properties>
</file>