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left" w:pos="420"/>
        </w:tabs>
        <w:spacing w:line="1700" w:lineRule="exact"/>
        <w:jc w:val="center"/>
        <w:rPr>
          <w:rFonts w:ascii="宋体" w:hAnsi="宋体"/>
          <w:b/>
          <w:bCs/>
          <w:color w:val="FF0000"/>
          <w:sz w:val="72"/>
          <w:szCs w:val="72"/>
        </w:rPr>
      </w:pPr>
      <w:bookmarkStart w:id="375" w:name="_GoBack"/>
      <w:bookmarkEnd w:id="375"/>
    </w:p>
    <w:p>
      <w:pPr>
        <w:spacing w:beforeLines="50"/>
        <w:jc w:val="center"/>
        <w:rPr>
          <w:rFonts w:hint="eastAsia" w:ascii="仿宋" w:hAnsi="仿宋" w:eastAsia="仿宋" w:cs="仿宋"/>
          <w:b/>
          <w:bCs/>
          <w:sz w:val="72"/>
          <w:szCs w:val="72"/>
        </w:rPr>
      </w:pPr>
      <w:r>
        <w:rPr>
          <w:rFonts w:hint="eastAsia" w:ascii="仿宋" w:hAnsi="仿宋" w:eastAsia="仿宋" w:cs="仿宋"/>
          <w:b/>
          <w:bCs/>
          <w:i w:val="0"/>
          <w:iCs w:val="0"/>
          <w:color w:val="auto"/>
          <w:kern w:val="0"/>
          <w:sz w:val="52"/>
          <w:szCs w:val="52"/>
          <w:u w:val="none"/>
          <w:lang w:val="en-US" w:eastAsia="zh-CN" w:bidi="ar"/>
        </w:rPr>
        <w:t>安徽六安技师学院教职工之家设备采购项目</w:t>
      </w:r>
    </w:p>
    <w:p>
      <w:pPr>
        <w:spacing w:beforeLines="50"/>
        <w:jc w:val="center"/>
        <w:rPr>
          <w:rFonts w:ascii="仿宋" w:hAnsi="仿宋" w:eastAsia="仿宋" w:cs="仿宋"/>
          <w:b/>
          <w:sz w:val="96"/>
          <w:szCs w:val="96"/>
        </w:rPr>
      </w:pPr>
    </w:p>
    <w:p>
      <w:pPr>
        <w:spacing w:beforeLines="50"/>
        <w:jc w:val="center"/>
        <w:rPr>
          <w:rFonts w:ascii="宋体" w:hAnsi="宋体"/>
          <w:b/>
          <w:bCs/>
          <w:sz w:val="44"/>
          <w:szCs w:val="44"/>
        </w:rPr>
      </w:pPr>
      <w:r>
        <w:rPr>
          <w:rFonts w:hint="eastAsia" w:ascii="仿宋" w:hAnsi="仿宋" w:eastAsia="仿宋" w:cs="仿宋"/>
          <w:b/>
          <w:sz w:val="96"/>
          <w:szCs w:val="96"/>
        </w:rPr>
        <w:t>发包文件</w:t>
      </w:r>
    </w:p>
    <w:p>
      <w:pPr>
        <w:tabs>
          <w:tab w:val="left" w:pos="315"/>
          <w:tab w:val="left" w:pos="8820"/>
        </w:tabs>
        <w:spacing w:beforeLines="100" w:afterLines="50" w:line="500" w:lineRule="exact"/>
        <w:ind w:right="267" w:rightChars="127"/>
        <w:jc w:val="center"/>
        <w:rPr>
          <w:rFonts w:ascii="宋体" w:hAnsi="宋体"/>
          <w:sz w:val="28"/>
          <w:szCs w:val="28"/>
        </w:rPr>
      </w:pPr>
      <w:r>
        <w:rPr>
          <w:rFonts w:hint="eastAsia" w:ascii="宋体" w:hAnsi="宋体"/>
          <w:sz w:val="28"/>
          <w:szCs w:val="28"/>
        </w:rPr>
        <w:t>项目编号：GJZB2023G003</w:t>
      </w:r>
    </w:p>
    <w:p>
      <w:pPr>
        <w:pStyle w:val="2"/>
        <w:spacing w:line="440" w:lineRule="exact"/>
        <w:ind w:right="-21" w:firstLine="0" w:firstLineChars="0"/>
        <w:rPr>
          <w:rFonts w:ascii="宋体" w:hAnsi="宋体"/>
          <w:sz w:val="40"/>
          <w:szCs w:val="40"/>
        </w:rPr>
      </w:pPr>
    </w:p>
    <w:p>
      <w:pPr>
        <w:pStyle w:val="2"/>
        <w:spacing w:line="440" w:lineRule="exact"/>
        <w:ind w:right="-21" w:firstLine="0" w:firstLineChars="0"/>
        <w:rPr>
          <w:rFonts w:ascii="宋体" w:hAnsi="宋体"/>
          <w:sz w:val="40"/>
          <w:szCs w:val="40"/>
        </w:rPr>
      </w:pPr>
    </w:p>
    <w:p>
      <w:pPr>
        <w:pStyle w:val="2"/>
        <w:spacing w:line="440" w:lineRule="exact"/>
        <w:ind w:right="-21" w:firstLine="0" w:firstLineChars="0"/>
        <w:rPr>
          <w:rFonts w:ascii="宋体" w:hAnsi="宋体"/>
          <w:sz w:val="40"/>
          <w:szCs w:val="40"/>
        </w:rPr>
      </w:pPr>
    </w:p>
    <w:p>
      <w:pPr>
        <w:pStyle w:val="2"/>
        <w:spacing w:line="440" w:lineRule="exact"/>
        <w:ind w:right="-21" w:firstLine="0" w:firstLineChars="0"/>
        <w:rPr>
          <w:rFonts w:ascii="宋体" w:hAnsi="宋体"/>
          <w:sz w:val="40"/>
          <w:szCs w:val="40"/>
        </w:rPr>
      </w:pPr>
    </w:p>
    <w:p>
      <w:pPr>
        <w:pStyle w:val="2"/>
        <w:spacing w:line="440" w:lineRule="exact"/>
        <w:ind w:right="-21" w:firstLine="0" w:firstLineChars="0"/>
        <w:rPr>
          <w:rFonts w:ascii="宋体" w:hAnsi="宋体"/>
          <w:sz w:val="40"/>
          <w:szCs w:val="40"/>
        </w:rPr>
      </w:pPr>
    </w:p>
    <w:p>
      <w:pPr>
        <w:pStyle w:val="2"/>
        <w:spacing w:line="440" w:lineRule="exact"/>
        <w:ind w:right="-21" w:firstLine="0" w:firstLineChars="0"/>
        <w:rPr>
          <w:rFonts w:ascii="宋体" w:hAnsi="宋体"/>
          <w:sz w:val="40"/>
          <w:szCs w:val="40"/>
        </w:rPr>
      </w:pPr>
    </w:p>
    <w:p>
      <w:pPr>
        <w:pStyle w:val="2"/>
        <w:spacing w:line="440" w:lineRule="exact"/>
        <w:ind w:right="-21" w:firstLine="0" w:firstLineChars="0"/>
        <w:rPr>
          <w:rFonts w:ascii="宋体" w:hAnsi="宋体"/>
          <w:sz w:val="40"/>
          <w:szCs w:val="40"/>
        </w:rPr>
      </w:pPr>
    </w:p>
    <w:p>
      <w:pPr>
        <w:pStyle w:val="2"/>
        <w:spacing w:line="440" w:lineRule="exact"/>
        <w:ind w:right="-21" w:firstLine="0" w:firstLineChars="0"/>
        <w:rPr>
          <w:rFonts w:ascii="宋体" w:hAnsi="宋体"/>
          <w:sz w:val="40"/>
          <w:szCs w:val="40"/>
        </w:rPr>
      </w:pPr>
    </w:p>
    <w:p>
      <w:pPr>
        <w:pStyle w:val="2"/>
        <w:spacing w:line="440" w:lineRule="exact"/>
        <w:ind w:right="-21" w:firstLine="0" w:firstLineChars="0"/>
        <w:rPr>
          <w:rFonts w:ascii="宋体" w:hAnsi="宋体"/>
          <w:sz w:val="40"/>
          <w:szCs w:val="40"/>
        </w:rPr>
      </w:pPr>
    </w:p>
    <w:p>
      <w:pPr>
        <w:pStyle w:val="2"/>
        <w:spacing w:line="440" w:lineRule="exact"/>
        <w:ind w:right="-21" w:firstLine="0" w:firstLineChars="0"/>
        <w:rPr>
          <w:rFonts w:ascii="宋体" w:hAnsi="宋体"/>
          <w:sz w:val="40"/>
          <w:szCs w:val="40"/>
        </w:rPr>
      </w:pPr>
    </w:p>
    <w:p>
      <w:pPr>
        <w:pStyle w:val="2"/>
        <w:spacing w:line="440" w:lineRule="exact"/>
        <w:ind w:right="-21" w:firstLine="0" w:firstLineChars="0"/>
        <w:rPr>
          <w:rFonts w:ascii="宋体" w:hAnsi="宋体"/>
          <w:sz w:val="40"/>
          <w:szCs w:val="40"/>
        </w:rPr>
      </w:pPr>
    </w:p>
    <w:p>
      <w:pPr>
        <w:pStyle w:val="2"/>
        <w:spacing w:line="440" w:lineRule="exact"/>
        <w:ind w:right="-21" w:firstLine="0" w:firstLineChars="0"/>
        <w:jc w:val="center"/>
        <w:rPr>
          <w:rFonts w:ascii="宋体" w:hAnsi="宋体" w:eastAsia="宋体" w:cs="宋体"/>
          <w:spacing w:val="20"/>
          <w:sz w:val="36"/>
          <w:szCs w:val="36"/>
        </w:rPr>
      </w:pPr>
      <w:r>
        <w:rPr>
          <w:rFonts w:hint="eastAsia" w:ascii="宋体" w:hAnsi="宋体" w:eastAsia="宋体" w:cs="宋体"/>
          <w:spacing w:val="20"/>
          <w:sz w:val="36"/>
          <w:szCs w:val="36"/>
        </w:rPr>
        <w:t>安徽六安技师学院</w:t>
      </w:r>
    </w:p>
    <w:p>
      <w:pPr>
        <w:tabs>
          <w:tab w:val="left" w:pos="2410"/>
        </w:tabs>
        <w:autoSpaceDE w:val="0"/>
        <w:autoSpaceDN w:val="0"/>
        <w:adjustRightInd w:val="0"/>
        <w:snapToGrid w:val="0"/>
        <w:spacing w:line="440" w:lineRule="exact"/>
        <w:jc w:val="center"/>
        <w:rPr>
          <w:rFonts w:ascii="宋体" w:hAnsi="宋体" w:cs="宋体"/>
          <w:spacing w:val="20"/>
          <w:kern w:val="0"/>
          <w:sz w:val="36"/>
          <w:szCs w:val="36"/>
        </w:rPr>
      </w:pPr>
      <w:r>
        <w:rPr>
          <w:rFonts w:hint="eastAsia" w:ascii="宋体" w:hAnsi="宋体" w:cs="宋体"/>
          <w:spacing w:val="20"/>
          <w:kern w:val="0"/>
          <w:sz w:val="36"/>
          <w:szCs w:val="36"/>
        </w:rPr>
        <w:t>安徽国建招标造价有限公司</w:t>
      </w:r>
    </w:p>
    <w:p>
      <w:pPr>
        <w:tabs>
          <w:tab w:val="left" w:pos="2410"/>
        </w:tabs>
        <w:autoSpaceDE w:val="0"/>
        <w:autoSpaceDN w:val="0"/>
        <w:adjustRightInd w:val="0"/>
        <w:snapToGrid w:val="0"/>
        <w:spacing w:line="440" w:lineRule="exact"/>
        <w:jc w:val="center"/>
        <w:rPr>
          <w:rFonts w:ascii="宋体" w:hAnsi="宋体" w:cs="宋体"/>
          <w:spacing w:val="20"/>
          <w:kern w:val="0"/>
          <w:sz w:val="36"/>
          <w:szCs w:val="36"/>
        </w:rPr>
      </w:pPr>
      <w:r>
        <w:rPr>
          <w:rFonts w:hint="eastAsia" w:ascii="宋体" w:hAnsi="宋体" w:cs="宋体"/>
          <w:spacing w:val="20"/>
          <w:kern w:val="0"/>
          <w:sz w:val="36"/>
          <w:szCs w:val="36"/>
        </w:rPr>
        <w:t>202</w:t>
      </w:r>
      <w:r>
        <w:rPr>
          <w:rFonts w:hint="eastAsia" w:ascii="宋体" w:hAnsi="宋体" w:cs="宋体"/>
          <w:spacing w:val="20"/>
          <w:kern w:val="0"/>
          <w:sz w:val="36"/>
          <w:szCs w:val="36"/>
          <w:lang w:val="en-US" w:eastAsia="zh-CN"/>
        </w:rPr>
        <w:t>3</w:t>
      </w:r>
      <w:r>
        <w:rPr>
          <w:rFonts w:hint="eastAsia" w:ascii="宋体" w:hAnsi="宋体" w:cs="宋体"/>
          <w:spacing w:val="20"/>
          <w:kern w:val="0"/>
          <w:sz w:val="36"/>
          <w:szCs w:val="36"/>
        </w:rPr>
        <w:t>年</w:t>
      </w:r>
      <w:r>
        <w:rPr>
          <w:rFonts w:hint="eastAsia" w:ascii="宋体" w:hAnsi="宋体" w:cs="宋体"/>
          <w:spacing w:val="20"/>
          <w:kern w:val="0"/>
          <w:sz w:val="36"/>
          <w:szCs w:val="36"/>
          <w:lang w:val="en-US" w:eastAsia="zh-CN"/>
        </w:rPr>
        <w:t>5</w:t>
      </w:r>
      <w:r>
        <w:rPr>
          <w:rFonts w:hint="eastAsia" w:ascii="宋体" w:hAnsi="宋体" w:cs="宋体"/>
          <w:spacing w:val="20"/>
          <w:kern w:val="0"/>
          <w:sz w:val="36"/>
          <w:szCs w:val="36"/>
        </w:rPr>
        <w:t>月</w:t>
      </w:r>
    </w:p>
    <w:p>
      <w:pPr>
        <w:spacing w:line="500" w:lineRule="exact"/>
        <w:jc w:val="center"/>
        <w:rPr>
          <w:rFonts w:ascii="宋体" w:hAnsi="宋体"/>
          <w:b/>
          <w:bCs/>
          <w:sz w:val="32"/>
        </w:rPr>
      </w:pPr>
    </w:p>
    <w:p>
      <w:pPr>
        <w:pStyle w:val="28"/>
        <w:sectPr>
          <w:pgSz w:w="11906" w:h="16840"/>
          <w:pgMar w:top="1440" w:right="1984" w:bottom="1440" w:left="1984" w:header="851" w:footer="992" w:gutter="0"/>
          <w:pgBorders>
            <w:top w:val="none" w:sz="0" w:space="0"/>
            <w:left w:val="none" w:sz="0" w:space="0"/>
            <w:bottom w:val="none" w:sz="0" w:space="0"/>
            <w:right w:val="none" w:sz="0" w:space="0"/>
          </w:pgBorders>
          <w:cols w:space="0" w:num="1"/>
          <w:docGrid w:linePitch="303" w:charSpace="0"/>
        </w:sectPr>
      </w:pPr>
    </w:p>
    <w:p>
      <w:pPr>
        <w:pStyle w:val="105"/>
        <w:jc w:val="center"/>
        <w:rPr>
          <w:rFonts w:ascii="仿宋" w:hAnsi="仿宋" w:eastAsia="仿宋" w:cs="仿宋"/>
          <w:b/>
          <w:color w:val="auto"/>
          <w:sz w:val="44"/>
          <w:szCs w:val="44"/>
        </w:rPr>
      </w:pPr>
      <w:r>
        <w:rPr>
          <w:rFonts w:hint="eastAsia" w:ascii="仿宋" w:hAnsi="仿宋" w:eastAsia="仿宋" w:cs="仿宋"/>
          <w:b/>
          <w:color w:val="auto"/>
          <w:sz w:val="44"/>
          <w:szCs w:val="44"/>
        </w:rPr>
        <w:t>目 录</w:t>
      </w:r>
    </w:p>
    <w:p>
      <w:pPr>
        <w:pStyle w:val="105"/>
        <w:jc w:val="center"/>
        <w:rPr>
          <w:rFonts w:ascii="仿宋" w:hAnsi="仿宋" w:eastAsia="仿宋" w:cs="仿宋"/>
          <w:b/>
          <w:color w:val="auto"/>
          <w:sz w:val="44"/>
          <w:szCs w:val="44"/>
        </w:rPr>
      </w:pPr>
    </w:p>
    <w:p>
      <w:pPr>
        <w:pStyle w:val="28"/>
        <w:tabs>
          <w:tab w:val="right" w:leader="dot" w:pos="7938"/>
        </w:tabs>
        <w:rPr>
          <w:sz w:val="28"/>
          <w:szCs w:val="28"/>
        </w:rPr>
      </w:pPr>
      <w:r>
        <w:rPr>
          <w:rFonts w:asciiTheme="minorEastAsia" w:hAnsiTheme="minorEastAsia" w:eastAsiaTheme="minorEastAsia"/>
          <w:sz w:val="32"/>
          <w:szCs w:val="32"/>
        </w:rPr>
        <w:fldChar w:fldCharType="begin"/>
      </w:r>
      <w:r>
        <w:rPr>
          <w:rFonts w:asciiTheme="minorEastAsia" w:hAnsiTheme="minorEastAsia" w:eastAsiaTheme="minorEastAsia"/>
          <w:caps w:val="0"/>
          <w:sz w:val="32"/>
          <w:szCs w:val="32"/>
        </w:rPr>
        <w:instrText xml:space="preserve"> TOC \o "1-3" \h \z \u </w:instrText>
      </w:r>
      <w:r>
        <w:rPr>
          <w:rFonts w:asciiTheme="minorEastAsia" w:hAnsiTheme="minorEastAsia" w:eastAsiaTheme="minorEastAsia"/>
          <w:sz w:val="32"/>
          <w:szCs w:val="32"/>
        </w:rPr>
        <w:fldChar w:fldCharType="separate"/>
      </w:r>
      <w:r>
        <w:fldChar w:fldCharType="begin"/>
      </w:r>
      <w:r>
        <w:instrText xml:space="preserve"> HYPERLINK \l "_Toc2304" </w:instrText>
      </w:r>
      <w:r>
        <w:fldChar w:fldCharType="separate"/>
      </w:r>
      <w:r>
        <w:rPr>
          <w:rFonts w:ascii="黑体" w:hAnsi="黑体" w:eastAsia="黑体" w:cs="黑体"/>
          <w:bCs/>
          <w:sz w:val="28"/>
          <w:szCs w:val="36"/>
        </w:rPr>
        <w:t xml:space="preserve">第一章 </w:t>
      </w:r>
      <w:r>
        <w:rPr>
          <w:rFonts w:hint="eastAsia" w:ascii="黑体" w:hAnsi="黑体" w:eastAsia="黑体" w:cs="黑体"/>
          <w:bCs/>
          <w:sz w:val="28"/>
          <w:szCs w:val="36"/>
        </w:rPr>
        <w:t>发包</w:t>
      </w:r>
      <w:r>
        <w:rPr>
          <w:rFonts w:ascii="黑体" w:hAnsi="黑体" w:eastAsia="黑体" w:cs="黑体"/>
          <w:bCs/>
          <w:sz w:val="28"/>
          <w:szCs w:val="36"/>
        </w:rPr>
        <w:t>公告</w:t>
      </w:r>
      <w:r>
        <w:rPr>
          <w:sz w:val="28"/>
          <w:szCs w:val="28"/>
        </w:rPr>
        <w:tab/>
      </w:r>
      <w:r>
        <w:rPr>
          <w:sz w:val="28"/>
          <w:szCs w:val="28"/>
        </w:rPr>
        <w:fldChar w:fldCharType="begin"/>
      </w:r>
      <w:r>
        <w:rPr>
          <w:sz w:val="28"/>
          <w:szCs w:val="28"/>
        </w:rPr>
        <w:instrText xml:space="preserve"> PAGEREF _Toc2304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8"/>
        <w:tabs>
          <w:tab w:val="right" w:leader="dot" w:pos="7938"/>
        </w:tabs>
        <w:rPr>
          <w:sz w:val="28"/>
          <w:szCs w:val="28"/>
        </w:rPr>
      </w:pPr>
      <w:r>
        <w:fldChar w:fldCharType="begin"/>
      </w:r>
      <w:r>
        <w:instrText xml:space="preserve"> HYPERLINK \l "_Toc675" </w:instrText>
      </w:r>
      <w:r>
        <w:fldChar w:fldCharType="separate"/>
      </w:r>
      <w:r>
        <w:rPr>
          <w:rFonts w:hint="eastAsia" w:ascii="黑体" w:hAnsi="黑体" w:eastAsia="黑体" w:cs="黑体"/>
          <w:bCs/>
          <w:sz w:val="28"/>
          <w:szCs w:val="36"/>
        </w:rPr>
        <w:t>第二章 供应商须知前附表</w:t>
      </w:r>
      <w:r>
        <w:rPr>
          <w:sz w:val="28"/>
          <w:szCs w:val="28"/>
        </w:rPr>
        <w:tab/>
      </w:r>
      <w:r>
        <w:rPr>
          <w:sz w:val="28"/>
          <w:szCs w:val="28"/>
        </w:rPr>
        <w:fldChar w:fldCharType="begin"/>
      </w:r>
      <w:r>
        <w:rPr>
          <w:sz w:val="28"/>
          <w:szCs w:val="28"/>
        </w:rPr>
        <w:instrText xml:space="preserve"> PAGEREF _Toc675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8"/>
        <w:tabs>
          <w:tab w:val="right" w:leader="dot" w:pos="7938"/>
        </w:tabs>
        <w:rPr>
          <w:sz w:val="28"/>
          <w:szCs w:val="28"/>
        </w:rPr>
      </w:pPr>
      <w:r>
        <w:fldChar w:fldCharType="begin"/>
      </w:r>
      <w:r>
        <w:instrText xml:space="preserve"> HYPERLINK \l "_Toc25926" </w:instrText>
      </w:r>
      <w:r>
        <w:fldChar w:fldCharType="separate"/>
      </w:r>
      <w:r>
        <w:rPr>
          <w:rFonts w:hint="eastAsia" w:ascii="黑体" w:hAnsi="黑体" w:eastAsia="黑体" w:cs="黑体"/>
          <w:bCs/>
          <w:sz w:val="28"/>
          <w:szCs w:val="36"/>
        </w:rPr>
        <w:t>第三章 供应商须知</w:t>
      </w:r>
      <w:r>
        <w:rPr>
          <w:sz w:val="28"/>
          <w:szCs w:val="28"/>
        </w:rPr>
        <w:tab/>
      </w:r>
      <w:r>
        <w:rPr>
          <w:sz w:val="28"/>
          <w:szCs w:val="28"/>
        </w:rPr>
        <w:fldChar w:fldCharType="begin"/>
      </w:r>
      <w:r>
        <w:rPr>
          <w:sz w:val="28"/>
          <w:szCs w:val="28"/>
        </w:rPr>
        <w:instrText xml:space="preserve"> PAGEREF _Toc25926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8"/>
        <w:tabs>
          <w:tab w:val="right" w:leader="dot" w:pos="7938"/>
        </w:tabs>
        <w:rPr>
          <w:sz w:val="28"/>
          <w:szCs w:val="28"/>
        </w:rPr>
      </w:pPr>
      <w:r>
        <w:fldChar w:fldCharType="begin"/>
      </w:r>
      <w:r>
        <w:instrText xml:space="preserve"> HYPERLINK \l "_Toc4706" </w:instrText>
      </w:r>
      <w:r>
        <w:fldChar w:fldCharType="separate"/>
      </w:r>
      <w:r>
        <w:rPr>
          <w:rFonts w:hint="eastAsia" w:ascii="黑体" w:hAnsi="黑体" w:eastAsia="黑体" w:cs="黑体"/>
          <w:bCs/>
          <w:sz w:val="28"/>
          <w:szCs w:val="36"/>
        </w:rPr>
        <w:t xml:space="preserve">第四章 </w:t>
      </w:r>
      <w:r>
        <w:rPr>
          <w:rFonts w:ascii="黑体" w:hAnsi="黑体" w:eastAsia="黑体" w:cs="黑体"/>
          <w:bCs/>
          <w:sz w:val="28"/>
          <w:szCs w:val="36"/>
        </w:rPr>
        <w:t>评审办法</w:t>
      </w:r>
      <w:r>
        <w:rPr>
          <w:sz w:val="28"/>
          <w:szCs w:val="28"/>
        </w:rPr>
        <w:tab/>
      </w:r>
      <w:r>
        <w:rPr>
          <w:sz w:val="28"/>
          <w:szCs w:val="28"/>
        </w:rPr>
        <w:fldChar w:fldCharType="begin"/>
      </w:r>
      <w:r>
        <w:rPr>
          <w:sz w:val="28"/>
          <w:szCs w:val="28"/>
        </w:rPr>
        <w:instrText xml:space="preserve"> PAGEREF _Toc4706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28"/>
        <w:tabs>
          <w:tab w:val="right" w:leader="dot" w:pos="7938"/>
        </w:tabs>
        <w:rPr>
          <w:sz w:val="28"/>
          <w:szCs w:val="28"/>
        </w:rPr>
      </w:pPr>
      <w:r>
        <w:fldChar w:fldCharType="begin"/>
      </w:r>
      <w:r>
        <w:instrText xml:space="preserve"> HYPERLINK \l "_Toc9836" </w:instrText>
      </w:r>
      <w:r>
        <w:fldChar w:fldCharType="separate"/>
      </w:r>
      <w:r>
        <w:rPr>
          <w:rFonts w:hint="eastAsia" w:ascii="黑体" w:hAnsi="黑体" w:eastAsia="黑体" w:cs="黑体"/>
          <w:sz w:val="28"/>
          <w:szCs w:val="36"/>
        </w:rPr>
        <w:t xml:space="preserve">第五章 </w:t>
      </w:r>
      <w:r>
        <w:rPr>
          <w:rFonts w:ascii="黑体" w:hAnsi="黑体" w:eastAsia="黑体" w:cs="黑体"/>
          <w:sz w:val="28"/>
          <w:szCs w:val="36"/>
        </w:rPr>
        <w:t>合同</w:t>
      </w:r>
      <w:r>
        <w:rPr>
          <w:sz w:val="28"/>
          <w:szCs w:val="28"/>
        </w:rPr>
        <w:tab/>
      </w:r>
      <w:r>
        <w:rPr>
          <w:sz w:val="28"/>
          <w:szCs w:val="28"/>
        </w:rPr>
        <w:fldChar w:fldCharType="begin"/>
      </w:r>
      <w:r>
        <w:rPr>
          <w:sz w:val="28"/>
          <w:szCs w:val="28"/>
        </w:rPr>
        <w:instrText xml:space="preserve"> PAGEREF _Toc9836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28"/>
        <w:tabs>
          <w:tab w:val="right" w:leader="dot" w:pos="7938"/>
        </w:tabs>
        <w:rPr>
          <w:sz w:val="28"/>
          <w:szCs w:val="28"/>
        </w:rPr>
      </w:pPr>
      <w:r>
        <w:fldChar w:fldCharType="begin"/>
      </w:r>
      <w:r>
        <w:instrText xml:space="preserve"> HYPERLINK \l "_Toc24024" </w:instrText>
      </w:r>
      <w:r>
        <w:fldChar w:fldCharType="separate"/>
      </w:r>
      <w:r>
        <w:rPr>
          <w:rFonts w:hint="eastAsia" w:ascii="黑体" w:hAnsi="黑体" w:eastAsia="黑体" w:cs="黑体"/>
          <w:sz w:val="28"/>
          <w:szCs w:val="36"/>
        </w:rPr>
        <w:t>第六章 采购需求</w:t>
      </w:r>
      <w:r>
        <w:rPr>
          <w:sz w:val="28"/>
          <w:szCs w:val="28"/>
        </w:rPr>
        <w:tab/>
      </w:r>
      <w:r>
        <w:rPr>
          <w:sz w:val="28"/>
          <w:szCs w:val="28"/>
        </w:rPr>
        <w:fldChar w:fldCharType="begin"/>
      </w:r>
      <w:r>
        <w:rPr>
          <w:sz w:val="28"/>
          <w:szCs w:val="28"/>
        </w:rPr>
        <w:instrText xml:space="preserve"> PAGEREF _Toc24024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28"/>
        <w:tabs>
          <w:tab w:val="right" w:leader="dot" w:pos="7938"/>
        </w:tabs>
        <w:rPr>
          <w:sz w:val="28"/>
          <w:szCs w:val="28"/>
        </w:rPr>
      </w:pPr>
      <w:r>
        <w:fldChar w:fldCharType="begin"/>
      </w:r>
      <w:r>
        <w:instrText xml:space="preserve"> HYPERLINK \l "_Toc17179" </w:instrText>
      </w:r>
      <w:r>
        <w:fldChar w:fldCharType="separate"/>
      </w:r>
      <w:r>
        <w:rPr>
          <w:rFonts w:hint="eastAsia" w:ascii="黑体" w:hAnsi="黑体" w:eastAsia="黑体" w:cs="黑体"/>
          <w:sz w:val="28"/>
          <w:szCs w:val="36"/>
          <w:lang w:val="zh-CN"/>
        </w:rPr>
        <w:t>第七章</w:t>
      </w:r>
      <w:r>
        <w:rPr>
          <w:rFonts w:hint="eastAsia" w:ascii="黑体" w:hAnsi="黑体" w:eastAsia="黑体" w:cs="黑体"/>
          <w:sz w:val="28"/>
          <w:szCs w:val="36"/>
        </w:rPr>
        <w:t xml:space="preserve"> </w:t>
      </w:r>
      <w:r>
        <w:rPr>
          <w:rFonts w:hint="eastAsia" w:ascii="黑体" w:hAnsi="黑体" w:eastAsia="黑体" w:cs="黑体"/>
          <w:bCs/>
          <w:sz w:val="28"/>
          <w:szCs w:val="36"/>
        </w:rPr>
        <w:t>响应文件格式</w:t>
      </w:r>
      <w:r>
        <w:rPr>
          <w:sz w:val="28"/>
          <w:szCs w:val="28"/>
        </w:rPr>
        <w:tab/>
      </w:r>
      <w:r>
        <w:rPr>
          <w:sz w:val="28"/>
          <w:szCs w:val="28"/>
        </w:rPr>
        <w:fldChar w:fldCharType="begin"/>
      </w:r>
      <w:r>
        <w:rPr>
          <w:sz w:val="28"/>
          <w:szCs w:val="28"/>
        </w:rPr>
        <w:instrText xml:space="preserve"> PAGEREF _Toc17179 \h </w:instrText>
      </w:r>
      <w:r>
        <w:rPr>
          <w:sz w:val="28"/>
          <w:szCs w:val="28"/>
        </w:rPr>
        <w:fldChar w:fldCharType="separate"/>
      </w:r>
      <w:r>
        <w:rPr>
          <w:sz w:val="28"/>
          <w:szCs w:val="28"/>
        </w:rPr>
        <w:t>34</w:t>
      </w:r>
      <w:r>
        <w:rPr>
          <w:sz w:val="28"/>
          <w:szCs w:val="28"/>
        </w:rPr>
        <w:fldChar w:fldCharType="end"/>
      </w:r>
      <w:r>
        <w:rPr>
          <w:sz w:val="28"/>
          <w:szCs w:val="28"/>
        </w:rPr>
        <w:fldChar w:fldCharType="end"/>
      </w:r>
    </w:p>
    <w:p>
      <w:pPr>
        <w:spacing w:line="360" w:lineRule="auto"/>
      </w:pPr>
      <w:r>
        <w:rPr>
          <w:rFonts w:asciiTheme="minorEastAsia" w:hAnsiTheme="minorEastAsia" w:eastAsiaTheme="minorEastAsia"/>
          <w:bCs/>
          <w:sz w:val="22"/>
          <w:szCs w:val="32"/>
          <w:lang w:val="zh-CN"/>
        </w:rPr>
        <w:fldChar w:fldCharType="end"/>
      </w: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5"/>
        <w:spacing w:beforeLines="30" w:afterLines="30" w:line="500" w:lineRule="exact"/>
        <w:rPr>
          <w:rFonts w:ascii="宋体" w:hAnsi="宋体"/>
          <w:bCs w:val="0"/>
          <w:kern w:val="2"/>
          <w:sz w:val="28"/>
          <w:szCs w:val="28"/>
        </w:rPr>
      </w:pPr>
    </w:p>
    <w:p>
      <w:pPr>
        <w:ind w:firstLine="1890" w:firstLineChars="900"/>
        <w:rPr>
          <w:szCs w:val="21"/>
        </w:rPr>
        <w:sectPr>
          <w:footerReference r:id="rId3" w:type="default"/>
          <w:pgSz w:w="11906" w:h="16840"/>
          <w:pgMar w:top="1440" w:right="1984" w:bottom="1440" w:left="1984" w:header="851" w:footer="992" w:gutter="0"/>
          <w:pgBorders>
            <w:top w:val="none" w:sz="0" w:space="0"/>
            <w:left w:val="none" w:sz="0" w:space="0"/>
            <w:bottom w:val="none" w:sz="0" w:space="0"/>
            <w:right w:val="none" w:sz="0" w:space="0"/>
          </w:pgBorders>
          <w:pgNumType w:start="1"/>
          <w:cols w:space="0" w:num="1"/>
          <w:docGrid w:linePitch="303" w:charSpace="0"/>
        </w:sectPr>
      </w:pPr>
    </w:p>
    <w:p>
      <w:pPr>
        <w:pStyle w:val="5"/>
        <w:spacing w:before="0" w:after="0" w:line="240" w:lineRule="auto"/>
        <w:jc w:val="center"/>
        <w:rPr>
          <w:rStyle w:val="61"/>
          <w:rFonts w:ascii="黑体" w:hAnsi="黑体" w:eastAsia="黑体" w:cs="黑体"/>
          <w:b/>
          <w:bCs/>
          <w:sz w:val="32"/>
          <w:szCs w:val="32"/>
        </w:rPr>
      </w:pPr>
      <w:bookmarkStart w:id="0" w:name="_Toc2304"/>
      <w:bookmarkStart w:id="1" w:name="_Toc1934"/>
      <w:bookmarkStart w:id="2" w:name="_Toc11565"/>
      <w:bookmarkStart w:id="3" w:name="_Toc30998"/>
      <w:bookmarkStart w:id="4" w:name="_Toc13709"/>
      <w:bookmarkStart w:id="5" w:name="_Toc3933"/>
      <w:bookmarkStart w:id="6" w:name="_Toc12323"/>
      <w:bookmarkStart w:id="7" w:name="_Toc12779"/>
      <w:bookmarkStart w:id="8" w:name="_Toc21936"/>
      <w:bookmarkStart w:id="9" w:name="_Toc18483"/>
      <w:bookmarkStart w:id="10" w:name="_Toc101102109"/>
      <w:bookmarkStart w:id="11" w:name="OLE_LINK1"/>
      <w:bookmarkStart w:id="12" w:name="_Hlt510343011"/>
      <w:bookmarkStart w:id="13" w:name="_Hlt510342998"/>
      <w:r>
        <w:rPr>
          <w:rStyle w:val="61"/>
          <w:rFonts w:ascii="黑体" w:hAnsi="黑体" w:eastAsia="黑体" w:cs="黑体"/>
          <w:b/>
          <w:bCs/>
          <w:sz w:val="32"/>
          <w:szCs w:val="32"/>
        </w:rPr>
        <w:t xml:space="preserve">第一章 </w:t>
      </w:r>
      <w:r>
        <w:rPr>
          <w:rStyle w:val="61"/>
          <w:rFonts w:hint="eastAsia" w:ascii="黑体" w:hAnsi="黑体" w:eastAsia="黑体" w:cs="黑体"/>
          <w:b/>
          <w:bCs/>
          <w:sz w:val="32"/>
          <w:szCs w:val="32"/>
        </w:rPr>
        <w:t>发包</w:t>
      </w:r>
      <w:r>
        <w:rPr>
          <w:rStyle w:val="61"/>
          <w:rFonts w:ascii="黑体" w:hAnsi="黑体" w:eastAsia="黑体" w:cs="黑体"/>
          <w:b/>
          <w:bCs/>
          <w:sz w:val="32"/>
          <w:szCs w:val="32"/>
        </w:rPr>
        <w:t>公告</w:t>
      </w:r>
      <w:bookmarkEnd w:id="0"/>
      <w:bookmarkEnd w:id="1"/>
      <w:bookmarkEnd w:id="2"/>
      <w:bookmarkEnd w:id="3"/>
      <w:bookmarkEnd w:id="4"/>
      <w:bookmarkEnd w:id="5"/>
      <w:bookmarkEnd w:id="6"/>
      <w:bookmarkEnd w:id="7"/>
      <w:bookmarkEnd w:id="8"/>
      <w:bookmarkEnd w:id="9"/>
      <w:bookmarkEnd w:id="10"/>
    </w:p>
    <w:p>
      <w:pPr>
        <w:spacing w:line="480" w:lineRule="exact"/>
        <w:ind w:firstLine="560" w:firstLineChars="200"/>
        <w:jc w:val="left"/>
        <w:rPr>
          <w:rFonts w:ascii="仿宋" w:hAnsi="仿宋" w:eastAsia="仿宋" w:cs="仿宋"/>
          <w:kern w:val="0"/>
          <w:sz w:val="28"/>
          <w:szCs w:val="28"/>
        </w:rPr>
      </w:pPr>
      <w:bookmarkStart w:id="14" w:name="OLE_LINK4"/>
      <w:bookmarkStart w:id="15" w:name="OLE_LINK3"/>
      <w:r>
        <w:rPr>
          <w:rFonts w:hint="eastAsia" w:ascii="仿宋" w:hAnsi="仿宋" w:eastAsia="仿宋" w:cs="仿宋"/>
          <w:sz w:val="28"/>
          <w:szCs w:val="28"/>
        </w:rPr>
        <w:t>受安徽六安技师学院的委托，现对安徽六安技师学院教职工之家设备采购项目进</w:t>
      </w:r>
      <w:r>
        <w:rPr>
          <w:rFonts w:hint="eastAsia" w:ascii="仿宋" w:hAnsi="仿宋" w:eastAsia="仿宋" w:cs="仿宋"/>
          <w:kern w:val="0"/>
          <w:sz w:val="28"/>
          <w:szCs w:val="28"/>
        </w:rPr>
        <w:t>行发包，欢迎符合条件的供应商参加，具体事项如下:</w:t>
      </w:r>
    </w:p>
    <w:p>
      <w:pPr>
        <w:widowControl/>
        <w:shd w:val="clear" w:color="auto" w:fill="FFFFFF"/>
        <w:spacing w:line="480" w:lineRule="exact"/>
        <w:ind w:left="432"/>
        <w:rPr>
          <w:rFonts w:ascii="仿宋" w:hAnsi="仿宋" w:eastAsia="仿宋" w:cs="仿宋"/>
          <w:b/>
          <w:bCs/>
          <w:kern w:val="0"/>
          <w:sz w:val="28"/>
          <w:szCs w:val="28"/>
        </w:rPr>
      </w:pPr>
      <w:r>
        <w:rPr>
          <w:rFonts w:hint="eastAsia" w:ascii="仿宋" w:hAnsi="仿宋" w:eastAsia="仿宋" w:cs="仿宋"/>
          <w:b/>
          <w:bCs/>
          <w:kern w:val="0"/>
          <w:sz w:val="28"/>
          <w:szCs w:val="28"/>
        </w:rPr>
        <w:t>一、项目编号：</w:t>
      </w:r>
      <w:r>
        <w:rPr>
          <w:rFonts w:hint="eastAsia" w:ascii="仿宋" w:hAnsi="仿宋" w:eastAsia="仿宋" w:cs="仿宋"/>
          <w:kern w:val="0"/>
          <w:sz w:val="28"/>
          <w:szCs w:val="28"/>
        </w:rPr>
        <w:t>GJZB2023G003</w:t>
      </w:r>
    </w:p>
    <w:p>
      <w:pPr>
        <w:widowControl/>
        <w:shd w:val="clear" w:color="auto" w:fill="FFFFFF"/>
        <w:spacing w:line="480" w:lineRule="exact"/>
        <w:ind w:left="432"/>
        <w:rPr>
          <w:rFonts w:hint="eastAsia" w:ascii="仿宋" w:hAnsi="仿宋" w:eastAsia="仿宋" w:cs="仿宋"/>
          <w:b/>
          <w:bCs/>
          <w:kern w:val="0"/>
          <w:sz w:val="28"/>
          <w:szCs w:val="28"/>
        </w:rPr>
      </w:pPr>
      <w:r>
        <w:rPr>
          <w:rFonts w:hint="eastAsia" w:ascii="仿宋" w:hAnsi="仿宋" w:eastAsia="仿宋" w:cs="仿宋"/>
          <w:b/>
          <w:bCs/>
          <w:kern w:val="0"/>
          <w:sz w:val="28"/>
          <w:szCs w:val="28"/>
        </w:rPr>
        <w:t>二、项目名称：</w:t>
      </w:r>
      <w:r>
        <w:rPr>
          <w:rFonts w:hint="eastAsia" w:ascii="仿宋" w:hAnsi="仿宋" w:eastAsia="仿宋" w:cs="仿宋"/>
          <w:b w:val="0"/>
          <w:bCs w:val="0"/>
          <w:kern w:val="0"/>
          <w:sz w:val="28"/>
          <w:szCs w:val="28"/>
        </w:rPr>
        <w:t>安徽六安技师学院教职工之家设备采购项目</w:t>
      </w:r>
    </w:p>
    <w:p>
      <w:pPr>
        <w:widowControl/>
        <w:shd w:val="clear" w:color="auto" w:fill="FFFFFF"/>
        <w:spacing w:line="480" w:lineRule="exact"/>
        <w:ind w:left="432"/>
        <w:rPr>
          <w:rFonts w:ascii="仿宋" w:hAnsi="仿宋" w:eastAsia="仿宋" w:cs="仿宋"/>
          <w:kern w:val="0"/>
          <w:sz w:val="28"/>
          <w:szCs w:val="28"/>
        </w:rPr>
      </w:pPr>
      <w:r>
        <w:rPr>
          <w:rFonts w:hint="eastAsia" w:ascii="仿宋" w:hAnsi="仿宋" w:eastAsia="仿宋" w:cs="仿宋"/>
          <w:b/>
          <w:bCs/>
          <w:kern w:val="0"/>
          <w:sz w:val="28"/>
          <w:szCs w:val="28"/>
        </w:rPr>
        <w:t>三、项目单位：</w:t>
      </w:r>
      <w:r>
        <w:rPr>
          <w:rFonts w:hint="eastAsia" w:ascii="仿宋" w:hAnsi="仿宋" w:eastAsia="仿宋" w:cs="仿宋"/>
          <w:sz w:val="28"/>
          <w:szCs w:val="28"/>
        </w:rPr>
        <w:t>安徽六安技师学院</w:t>
      </w:r>
    </w:p>
    <w:p>
      <w:pPr>
        <w:widowControl/>
        <w:shd w:val="clear" w:color="auto" w:fill="FFFFFF"/>
        <w:spacing w:line="480" w:lineRule="exact"/>
        <w:ind w:left="432"/>
        <w:rPr>
          <w:rFonts w:ascii="仿宋" w:hAnsi="仿宋" w:eastAsia="仿宋" w:cs="仿宋"/>
          <w:bCs/>
          <w:kern w:val="0"/>
          <w:sz w:val="28"/>
          <w:szCs w:val="28"/>
        </w:rPr>
      </w:pPr>
      <w:r>
        <w:rPr>
          <w:rFonts w:hint="eastAsia" w:ascii="仿宋" w:hAnsi="仿宋" w:eastAsia="仿宋" w:cs="仿宋"/>
          <w:b/>
          <w:bCs/>
          <w:kern w:val="0"/>
          <w:sz w:val="28"/>
          <w:szCs w:val="28"/>
        </w:rPr>
        <w:t>四、项目地点：</w:t>
      </w:r>
      <w:r>
        <w:rPr>
          <w:rFonts w:hint="eastAsia" w:ascii="仿宋" w:hAnsi="仿宋" w:eastAsia="仿宋" w:cs="仿宋"/>
          <w:bCs/>
          <w:kern w:val="0"/>
          <w:sz w:val="28"/>
          <w:szCs w:val="28"/>
        </w:rPr>
        <w:t>六安市金安区三十铺镇长淮路以南，伟业路以</w:t>
      </w:r>
    </w:p>
    <w:p>
      <w:pPr>
        <w:widowControl/>
        <w:shd w:val="clear" w:color="auto" w:fill="FFFFFF"/>
        <w:spacing w:line="480" w:lineRule="exact"/>
        <w:rPr>
          <w:rFonts w:ascii="仿宋" w:hAnsi="仿宋" w:eastAsia="仿宋" w:cs="仿宋"/>
          <w:b/>
          <w:bCs/>
          <w:kern w:val="0"/>
          <w:sz w:val="28"/>
          <w:szCs w:val="28"/>
        </w:rPr>
      </w:pPr>
      <w:r>
        <w:rPr>
          <w:rFonts w:hint="eastAsia" w:ascii="仿宋" w:hAnsi="仿宋" w:eastAsia="仿宋" w:cs="仿宋"/>
          <w:bCs/>
          <w:kern w:val="0"/>
          <w:sz w:val="28"/>
          <w:szCs w:val="28"/>
        </w:rPr>
        <w:t>东</w:t>
      </w:r>
    </w:p>
    <w:p>
      <w:pPr>
        <w:widowControl/>
        <w:shd w:val="clear" w:color="auto" w:fill="FFFFFF"/>
        <w:spacing w:line="480" w:lineRule="exact"/>
        <w:ind w:left="432"/>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rPr>
        <w:t>五、项目类型：</w:t>
      </w:r>
      <w:r>
        <w:rPr>
          <w:rFonts w:hint="eastAsia" w:ascii="仿宋" w:hAnsi="仿宋" w:eastAsia="仿宋" w:cs="仿宋"/>
          <w:kern w:val="0"/>
          <w:sz w:val="28"/>
          <w:szCs w:val="28"/>
          <w:lang w:eastAsia="zh-CN"/>
        </w:rPr>
        <w:t>货物类</w:t>
      </w:r>
    </w:p>
    <w:p>
      <w:pPr>
        <w:widowControl/>
        <w:shd w:val="clear" w:color="auto" w:fill="FFFFFF"/>
        <w:spacing w:line="480" w:lineRule="exact"/>
        <w:ind w:left="432"/>
        <w:rPr>
          <w:rFonts w:hint="eastAsia" w:ascii="仿宋" w:hAnsi="仿宋" w:eastAsia="仿宋" w:cs="仿宋"/>
          <w:bCs/>
          <w:kern w:val="0"/>
          <w:sz w:val="28"/>
          <w:szCs w:val="28"/>
        </w:rPr>
      </w:pPr>
      <w:r>
        <w:rPr>
          <w:rFonts w:hint="eastAsia" w:ascii="仿宋" w:hAnsi="仿宋" w:eastAsia="仿宋" w:cs="仿宋"/>
          <w:b/>
          <w:bCs/>
          <w:kern w:val="0"/>
          <w:sz w:val="28"/>
          <w:szCs w:val="28"/>
        </w:rPr>
        <w:t>六、项目概况及投资规模：</w:t>
      </w:r>
      <w:r>
        <w:rPr>
          <w:rFonts w:hint="eastAsia" w:ascii="仿宋" w:hAnsi="仿宋" w:eastAsia="仿宋" w:cs="仿宋"/>
          <w:bCs/>
          <w:kern w:val="0"/>
          <w:sz w:val="28"/>
          <w:szCs w:val="28"/>
          <w:lang w:eastAsia="zh-CN"/>
        </w:rPr>
        <w:t>本项目为</w:t>
      </w:r>
      <w:r>
        <w:rPr>
          <w:rFonts w:hint="eastAsia" w:ascii="仿宋" w:hAnsi="仿宋" w:eastAsia="仿宋" w:cs="仿宋"/>
          <w:bCs/>
          <w:kern w:val="0"/>
          <w:sz w:val="28"/>
          <w:szCs w:val="28"/>
        </w:rPr>
        <w:t>安徽六安技师学院教职工</w:t>
      </w:r>
    </w:p>
    <w:p>
      <w:pPr>
        <w:widowControl/>
        <w:shd w:val="clear" w:color="auto" w:fill="FFFFFF"/>
        <w:spacing w:line="480" w:lineRule="exact"/>
        <w:rPr>
          <w:rFonts w:hint="default" w:ascii="仿宋" w:hAnsi="仿宋" w:eastAsia="仿宋" w:cs="仿宋"/>
          <w:bCs/>
          <w:kern w:val="0"/>
          <w:sz w:val="28"/>
          <w:szCs w:val="28"/>
          <w:lang w:val="en-US" w:eastAsia="zh-CN"/>
        </w:rPr>
      </w:pPr>
      <w:r>
        <w:rPr>
          <w:rFonts w:hint="eastAsia" w:ascii="仿宋" w:hAnsi="仿宋" w:eastAsia="仿宋" w:cs="仿宋"/>
          <w:bCs/>
          <w:kern w:val="0"/>
          <w:sz w:val="28"/>
          <w:szCs w:val="28"/>
        </w:rPr>
        <w:t>之家设备采购项目</w:t>
      </w:r>
      <w:r>
        <w:rPr>
          <w:rFonts w:hint="eastAsia" w:ascii="仿宋" w:hAnsi="仿宋" w:eastAsia="仿宋" w:cs="仿宋"/>
          <w:bCs/>
          <w:kern w:val="0"/>
          <w:sz w:val="28"/>
          <w:szCs w:val="28"/>
          <w:lang w:eastAsia="zh-CN"/>
        </w:rPr>
        <w:t>，项目地点为安徽六安技师学院第二校区，主要采购内容为投影机、音箱、显示器等设备采购及安装，具体详见采购清单。本项目采购预算</w:t>
      </w:r>
      <w:r>
        <w:rPr>
          <w:rFonts w:hint="eastAsia" w:ascii="仿宋" w:hAnsi="仿宋" w:eastAsia="仿宋" w:cs="仿宋"/>
          <w:bCs/>
          <w:kern w:val="0"/>
          <w:sz w:val="28"/>
          <w:szCs w:val="28"/>
          <w:lang w:val="en-US" w:eastAsia="zh-CN"/>
        </w:rPr>
        <w:t>18.3万元。</w:t>
      </w:r>
    </w:p>
    <w:p>
      <w:pPr>
        <w:widowControl/>
        <w:numPr>
          <w:ilvl w:val="255"/>
          <w:numId w:val="0"/>
        </w:numPr>
        <w:shd w:val="clear" w:color="auto" w:fill="FFFFFF"/>
        <w:spacing w:line="480" w:lineRule="exact"/>
        <w:ind w:left="432"/>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rPr>
        <w:t>七、</w:t>
      </w:r>
      <w:r>
        <w:rPr>
          <w:rFonts w:hint="eastAsia" w:ascii="仿宋" w:hAnsi="仿宋" w:eastAsia="仿宋" w:cs="仿宋"/>
          <w:b/>
          <w:bCs/>
          <w:kern w:val="0"/>
          <w:sz w:val="28"/>
          <w:szCs w:val="28"/>
          <w:lang w:eastAsia="zh-CN"/>
        </w:rPr>
        <w:t>供货及安装周期</w:t>
      </w:r>
      <w:r>
        <w:rPr>
          <w:rFonts w:hint="eastAsia" w:ascii="仿宋" w:hAnsi="仿宋" w:eastAsia="仿宋" w:cs="仿宋"/>
          <w:b/>
          <w:bCs/>
          <w:kern w:val="0"/>
          <w:sz w:val="28"/>
          <w:szCs w:val="28"/>
        </w:rPr>
        <w:t>：</w:t>
      </w:r>
      <w:r>
        <w:rPr>
          <w:rFonts w:hint="eastAsia" w:ascii="仿宋" w:hAnsi="仿宋" w:eastAsia="仿宋" w:cs="仿宋"/>
          <w:kern w:val="0"/>
          <w:sz w:val="28"/>
          <w:szCs w:val="28"/>
          <w:lang w:val="en-US" w:eastAsia="zh-CN"/>
        </w:rPr>
        <w:t>20日历天</w:t>
      </w:r>
    </w:p>
    <w:p>
      <w:pPr>
        <w:widowControl/>
        <w:shd w:val="clear" w:color="auto" w:fill="FFFFFF"/>
        <w:spacing w:line="480" w:lineRule="exact"/>
        <w:ind w:left="432"/>
        <w:rPr>
          <w:rFonts w:ascii="仿宋" w:hAnsi="仿宋" w:eastAsia="仿宋" w:cs="仿宋"/>
          <w:b/>
          <w:bCs/>
          <w:kern w:val="0"/>
          <w:sz w:val="28"/>
          <w:szCs w:val="28"/>
        </w:rPr>
      </w:pPr>
      <w:r>
        <w:rPr>
          <w:rFonts w:hint="eastAsia" w:ascii="仿宋" w:hAnsi="仿宋" w:eastAsia="仿宋" w:cs="仿宋"/>
          <w:b/>
          <w:bCs/>
          <w:sz w:val="28"/>
          <w:szCs w:val="28"/>
        </w:rPr>
        <w:t>八、标段（包别）划分：</w:t>
      </w:r>
      <w:r>
        <w:rPr>
          <w:rFonts w:hint="eastAsia" w:ascii="仿宋" w:hAnsi="仿宋" w:eastAsia="仿宋" w:cs="仿宋"/>
          <w:kern w:val="0"/>
          <w:sz w:val="28"/>
          <w:szCs w:val="28"/>
        </w:rPr>
        <w:t>不划分</w:t>
      </w:r>
    </w:p>
    <w:p>
      <w:pPr>
        <w:widowControl/>
        <w:shd w:val="clear" w:color="auto" w:fill="FFFFFF"/>
        <w:spacing w:line="480" w:lineRule="exact"/>
        <w:ind w:left="432"/>
        <w:rPr>
          <w:rFonts w:ascii="仿宋" w:hAnsi="仿宋" w:eastAsia="仿宋" w:cs="仿宋"/>
          <w:b/>
          <w:bCs/>
          <w:kern w:val="0"/>
          <w:sz w:val="28"/>
          <w:szCs w:val="28"/>
        </w:rPr>
      </w:pPr>
      <w:r>
        <w:rPr>
          <w:rFonts w:hint="eastAsia" w:ascii="仿宋" w:hAnsi="仿宋" w:eastAsia="仿宋" w:cs="仿宋"/>
          <w:b/>
          <w:bCs/>
          <w:kern w:val="0"/>
          <w:sz w:val="28"/>
          <w:szCs w:val="28"/>
        </w:rPr>
        <w:t>九、供应商资质、资格要求：</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满足《中华人民共和国政府采购法》第二十二条规定；</w:t>
      </w:r>
    </w:p>
    <w:p>
      <w:pPr>
        <w:widowControl/>
        <w:numPr>
          <w:ilvl w:val="255"/>
          <w:numId w:val="0"/>
        </w:numPr>
        <w:shd w:val="clear" w:color="auto" w:fill="FFFFFF"/>
        <w:spacing w:line="480" w:lineRule="exact"/>
        <w:ind w:left="432"/>
        <w:rPr>
          <w:rFonts w:hint="eastAsia" w:ascii="仿宋" w:hAnsi="仿宋" w:eastAsia="仿宋" w:cs="仿宋"/>
          <w:b/>
          <w:bCs/>
          <w:kern w:val="0"/>
          <w:sz w:val="28"/>
          <w:szCs w:val="28"/>
        </w:rPr>
      </w:pPr>
      <w:r>
        <w:rPr>
          <w:rFonts w:hint="eastAsia" w:ascii="仿宋" w:hAnsi="仿宋" w:eastAsia="仿宋" w:cs="仿宋"/>
          <w:b/>
          <w:bCs/>
          <w:kern w:val="0"/>
          <w:sz w:val="28"/>
          <w:szCs w:val="28"/>
        </w:rPr>
        <w:t>十、发包文件获取方式：</w:t>
      </w:r>
    </w:p>
    <w:p>
      <w:pPr>
        <w:widowControl/>
        <w:shd w:val="clear" w:color="auto" w:fill="FFFFFF"/>
        <w:spacing w:line="480" w:lineRule="exact"/>
        <w:ind w:left="432"/>
        <w:jc w:val="left"/>
        <w:rPr>
          <w:rFonts w:ascii="仿宋" w:hAnsi="仿宋" w:eastAsia="仿宋" w:cs="仿宋"/>
          <w:kern w:val="0"/>
          <w:sz w:val="28"/>
          <w:szCs w:val="28"/>
        </w:rPr>
      </w:pPr>
      <w:r>
        <w:rPr>
          <w:rFonts w:hint="eastAsia" w:ascii="仿宋" w:hAnsi="仿宋" w:eastAsia="仿宋" w:cs="仿宋"/>
          <w:kern w:val="0"/>
          <w:sz w:val="28"/>
          <w:szCs w:val="28"/>
          <w:shd w:val="clear" w:color="auto" w:fill="FFFFFF"/>
        </w:rPr>
        <w:t>  有意向参加本次</w:t>
      </w:r>
      <w:r>
        <w:rPr>
          <w:rFonts w:hint="eastAsia" w:ascii="仿宋" w:hAnsi="仿宋" w:eastAsia="仿宋" w:cs="仿宋"/>
          <w:kern w:val="0"/>
          <w:sz w:val="28"/>
          <w:szCs w:val="28"/>
        </w:rPr>
        <w:t>采购</w:t>
      </w:r>
      <w:r>
        <w:rPr>
          <w:rFonts w:hint="eastAsia" w:ascii="仿宋" w:hAnsi="仿宋" w:eastAsia="仿宋" w:cs="仿宋"/>
          <w:kern w:val="0"/>
          <w:sz w:val="28"/>
          <w:szCs w:val="28"/>
          <w:shd w:val="clear" w:color="auto" w:fill="FFFFFF"/>
        </w:rPr>
        <w:t>活动的</w:t>
      </w:r>
      <w:r>
        <w:rPr>
          <w:rFonts w:hint="eastAsia" w:ascii="仿宋" w:hAnsi="仿宋" w:eastAsia="仿宋" w:cs="仿宋"/>
          <w:kern w:val="0"/>
          <w:sz w:val="28"/>
          <w:szCs w:val="28"/>
        </w:rPr>
        <w:t>供应商，自行登录安徽六安技师</w:t>
      </w:r>
    </w:p>
    <w:p>
      <w:pPr>
        <w:widowControl/>
        <w:shd w:val="clear" w:color="auto" w:fill="FFFFFF"/>
        <w:spacing w:line="480" w:lineRule="exact"/>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rPr>
        <w:t>学院官网（http://www.ahlajsxy.cn/）下载发包文件。</w:t>
      </w:r>
    </w:p>
    <w:p>
      <w:pPr>
        <w:widowControl/>
        <w:shd w:val="clear" w:color="auto" w:fill="FFFFFF"/>
        <w:spacing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十一、发包时间及地点（响应文件递交截止时间及地点）：</w:t>
      </w:r>
    </w:p>
    <w:p>
      <w:pPr>
        <w:widowControl/>
        <w:shd w:val="clear" w:color="auto" w:fill="FFFFFF"/>
        <w:spacing w:line="480" w:lineRule="exact"/>
        <w:ind w:firstLine="560" w:firstLineChars="200"/>
        <w:jc w:val="left"/>
        <w:rPr>
          <w:rFonts w:ascii="仿宋" w:hAnsi="仿宋" w:eastAsia="仿宋" w:cs="仿宋"/>
          <w:b w:val="0"/>
          <w:bCs w:val="0"/>
          <w:color w:val="FF0000"/>
          <w:kern w:val="0"/>
          <w:sz w:val="28"/>
          <w:szCs w:val="28"/>
        </w:rPr>
      </w:pPr>
      <w:r>
        <w:rPr>
          <w:rFonts w:hint="eastAsia" w:ascii="仿宋" w:hAnsi="仿宋" w:eastAsia="仿宋" w:cs="仿宋"/>
          <w:b w:val="0"/>
          <w:bCs w:val="0"/>
          <w:kern w:val="0"/>
          <w:sz w:val="28"/>
          <w:szCs w:val="28"/>
        </w:rPr>
        <w:t>1、发包时间：</w:t>
      </w:r>
      <w:r>
        <w:rPr>
          <w:rFonts w:hint="eastAsia" w:ascii="仿宋" w:hAnsi="仿宋" w:eastAsia="仿宋" w:cs="仿宋"/>
          <w:b w:val="0"/>
          <w:bCs w:val="0"/>
          <w:color w:val="auto"/>
          <w:kern w:val="0"/>
          <w:sz w:val="28"/>
          <w:szCs w:val="28"/>
        </w:rPr>
        <w:t>202</w:t>
      </w:r>
      <w:r>
        <w:rPr>
          <w:rFonts w:hint="eastAsia" w:ascii="仿宋" w:hAnsi="仿宋" w:eastAsia="仿宋" w:cs="仿宋"/>
          <w:b w:val="0"/>
          <w:bCs w:val="0"/>
          <w:color w:val="auto"/>
          <w:kern w:val="0"/>
          <w:sz w:val="28"/>
          <w:szCs w:val="28"/>
          <w:lang w:val="en-US" w:eastAsia="zh-CN"/>
        </w:rPr>
        <w:t>3</w:t>
      </w:r>
      <w:r>
        <w:rPr>
          <w:rFonts w:hint="eastAsia" w:ascii="仿宋" w:hAnsi="仿宋" w:eastAsia="仿宋" w:cs="仿宋"/>
          <w:b w:val="0"/>
          <w:bCs w:val="0"/>
          <w:color w:val="auto"/>
          <w:kern w:val="0"/>
          <w:sz w:val="28"/>
          <w:szCs w:val="28"/>
        </w:rPr>
        <w:t>年</w:t>
      </w:r>
      <w:r>
        <w:rPr>
          <w:rFonts w:hint="eastAsia" w:ascii="仿宋" w:hAnsi="仿宋" w:eastAsia="仿宋" w:cs="仿宋"/>
          <w:b w:val="0"/>
          <w:bCs w:val="0"/>
          <w:color w:val="auto"/>
          <w:kern w:val="0"/>
          <w:sz w:val="28"/>
          <w:szCs w:val="28"/>
          <w:lang w:val="en-US" w:eastAsia="zh-CN"/>
        </w:rPr>
        <w:t>5</w:t>
      </w:r>
      <w:r>
        <w:rPr>
          <w:rFonts w:hint="eastAsia" w:ascii="仿宋" w:hAnsi="仿宋" w:eastAsia="仿宋" w:cs="仿宋"/>
          <w:b w:val="0"/>
          <w:bCs w:val="0"/>
          <w:color w:val="auto"/>
          <w:kern w:val="0"/>
          <w:sz w:val="28"/>
          <w:szCs w:val="28"/>
        </w:rPr>
        <w:t>月</w:t>
      </w:r>
      <w:r>
        <w:rPr>
          <w:rFonts w:hint="eastAsia" w:ascii="仿宋" w:hAnsi="仿宋" w:eastAsia="仿宋" w:cs="仿宋"/>
          <w:b w:val="0"/>
          <w:bCs w:val="0"/>
          <w:color w:val="auto"/>
          <w:kern w:val="0"/>
          <w:sz w:val="28"/>
          <w:szCs w:val="28"/>
          <w:lang w:val="en-US" w:eastAsia="zh-CN"/>
        </w:rPr>
        <w:t>6</w:t>
      </w:r>
      <w:r>
        <w:rPr>
          <w:rFonts w:hint="eastAsia" w:ascii="仿宋" w:hAnsi="仿宋" w:eastAsia="仿宋" w:cs="仿宋"/>
          <w:b w:val="0"/>
          <w:bCs w:val="0"/>
          <w:color w:val="auto"/>
          <w:kern w:val="0"/>
          <w:sz w:val="28"/>
          <w:szCs w:val="28"/>
        </w:rPr>
        <w:t>日</w:t>
      </w:r>
      <w:r>
        <w:rPr>
          <w:rFonts w:hint="eastAsia" w:ascii="仿宋" w:hAnsi="仿宋" w:eastAsia="仿宋" w:cs="仿宋"/>
          <w:b w:val="0"/>
          <w:bCs w:val="0"/>
          <w:color w:val="auto"/>
          <w:kern w:val="0"/>
          <w:sz w:val="28"/>
          <w:szCs w:val="28"/>
          <w:lang w:val="en-US" w:eastAsia="zh-CN"/>
        </w:rPr>
        <w:t>15</w:t>
      </w:r>
      <w:r>
        <w:rPr>
          <w:rFonts w:hint="eastAsia" w:ascii="仿宋" w:hAnsi="仿宋" w:eastAsia="仿宋" w:cs="仿宋"/>
          <w:b w:val="0"/>
          <w:bCs w:val="0"/>
          <w:color w:val="auto"/>
          <w:kern w:val="0"/>
          <w:sz w:val="28"/>
          <w:szCs w:val="28"/>
        </w:rPr>
        <w:t>时</w:t>
      </w:r>
      <w:r>
        <w:rPr>
          <w:rFonts w:hint="eastAsia" w:ascii="仿宋" w:hAnsi="仿宋" w:eastAsia="仿宋" w:cs="仿宋"/>
          <w:b w:val="0"/>
          <w:bCs w:val="0"/>
          <w:color w:val="auto"/>
          <w:kern w:val="0"/>
          <w:sz w:val="28"/>
          <w:szCs w:val="28"/>
          <w:lang w:val="en-US" w:eastAsia="zh-CN"/>
        </w:rPr>
        <w:t>00</w:t>
      </w:r>
      <w:r>
        <w:rPr>
          <w:rFonts w:hint="eastAsia" w:ascii="仿宋" w:hAnsi="仿宋" w:eastAsia="仿宋" w:cs="仿宋"/>
          <w:b w:val="0"/>
          <w:bCs w:val="0"/>
          <w:color w:val="auto"/>
          <w:kern w:val="0"/>
          <w:sz w:val="28"/>
          <w:szCs w:val="28"/>
        </w:rPr>
        <w:t>分。</w:t>
      </w:r>
    </w:p>
    <w:p>
      <w:pPr>
        <w:widowControl/>
        <w:shd w:val="clear" w:color="auto" w:fill="FFFFFF"/>
        <w:spacing w:line="480" w:lineRule="exact"/>
        <w:ind w:firstLine="560" w:firstLineChars="200"/>
        <w:jc w:val="left"/>
        <w:rPr>
          <w:rFonts w:hint="default" w:ascii="仿宋" w:hAnsi="仿宋" w:eastAsia="仿宋" w:cs="仿宋"/>
          <w:kern w:val="0"/>
          <w:sz w:val="28"/>
          <w:szCs w:val="28"/>
          <w:highlight w:val="yellow"/>
          <w:lang w:val="en-US" w:eastAsia="zh-CN"/>
        </w:rPr>
      </w:pPr>
      <w:r>
        <w:rPr>
          <w:rFonts w:hint="eastAsia" w:ascii="仿宋" w:hAnsi="仿宋" w:eastAsia="仿宋" w:cs="仿宋"/>
          <w:sz w:val="28"/>
          <w:szCs w:val="28"/>
        </w:rPr>
        <w:t>2、发包地点：</w:t>
      </w:r>
      <w:r>
        <w:rPr>
          <w:rFonts w:hint="eastAsia" w:ascii="仿宋" w:hAnsi="仿宋" w:eastAsia="仿宋" w:cs="仿宋"/>
          <w:sz w:val="28"/>
          <w:szCs w:val="28"/>
          <w:lang w:eastAsia="zh-CN"/>
        </w:rPr>
        <w:t>安徽国建招标造价有限公司会议室，六安市文汇大厦</w:t>
      </w:r>
      <w:r>
        <w:rPr>
          <w:rFonts w:hint="eastAsia" w:ascii="仿宋" w:hAnsi="仿宋" w:eastAsia="仿宋" w:cs="仿宋"/>
          <w:sz w:val="28"/>
          <w:szCs w:val="28"/>
          <w:lang w:val="en-US" w:eastAsia="zh-CN"/>
        </w:rPr>
        <w:t>1225室。</w:t>
      </w:r>
    </w:p>
    <w:p>
      <w:pPr>
        <w:widowControl/>
        <w:shd w:val="clear" w:color="auto" w:fill="FFFFFF"/>
        <w:spacing w:line="480" w:lineRule="exact"/>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rPr>
        <w:t>十二、响应保证金</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本项目不设置响应保证金</w:t>
      </w:r>
    </w:p>
    <w:p>
      <w:pPr>
        <w:widowControl/>
        <w:shd w:val="clear" w:color="auto" w:fill="FFFFFF"/>
        <w:spacing w:line="480" w:lineRule="exact"/>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rPr>
        <w:t>十三、其它补充事宜</w:t>
      </w:r>
      <w:r>
        <w:rPr>
          <w:rFonts w:hint="eastAsia" w:ascii="仿宋" w:hAnsi="仿宋" w:eastAsia="仿宋" w:cs="仿宋"/>
          <w:b/>
          <w:bCs/>
          <w:sz w:val="28"/>
          <w:szCs w:val="28"/>
          <w:lang w:eastAsia="zh-CN"/>
        </w:rPr>
        <w:t>：</w:t>
      </w:r>
      <w:r>
        <w:rPr>
          <w:rFonts w:hint="eastAsia" w:ascii="仿宋" w:hAnsi="仿宋" w:eastAsia="仿宋" w:cs="仿宋"/>
          <w:b w:val="0"/>
          <w:bCs w:val="0"/>
          <w:sz w:val="28"/>
          <w:szCs w:val="28"/>
          <w:lang w:eastAsia="zh-CN"/>
        </w:rPr>
        <w:t>无</w:t>
      </w:r>
    </w:p>
    <w:p>
      <w:pPr>
        <w:widowControl/>
        <w:spacing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十四、联系方式</w:t>
      </w:r>
    </w:p>
    <w:p>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采购人：安徽六安技师学院</w:t>
      </w:r>
    </w:p>
    <w:p>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地址：六安市开发区佛子岭东路</w:t>
      </w:r>
    </w:p>
    <w:p>
      <w:pPr>
        <w:widowControl/>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联系人：张</w:t>
      </w:r>
      <w:r>
        <w:rPr>
          <w:rFonts w:hint="eastAsia" w:ascii="仿宋" w:hAnsi="仿宋" w:eastAsia="仿宋" w:cs="仿宋"/>
          <w:sz w:val="28"/>
          <w:szCs w:val="28"/>
          <w:lang w:eastAsia="zh-CN"/>
        </w:rPr>
        <w:t>主席</w:t>
      </w:r>
    </w:p>
    <w:p>
      <w:pPr>
        <w:widowControl/>
        <w:spacing w:line="48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13335643278</w:t>
      </w:r>
    </w:p>
    <w:p>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代理机构：安徽国建招标造价有限公司</w:t>
      </w:r>
    </w:p>
    <w:p>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地址：六安市文汇大厦1225室</w:t>
      </w:r>
    </w:p>
    <w:p>
      <w:pPr>
        <w:widowControl/>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陈工</w:t>
      </w:r>
    </w:p>
    <w:p>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联系电话：0564-3218388</w:t>
      </w:r>
    </w:p>
    <w:bookmarkEnd w:id="11"/>
    <w:bookmarkEnd w:id="14"/>
    <w:bookmarkEnd w:id="15"/>
    <w:p>
      <w:pPr>
        <w:rPr>
          <w:rFonts w:ascii="仿宋" w:hAnsi="仿宋" w:eastAsia="仿宋" w:cs="仿宋"/>
          <w:kern w:val="0"/>
          <w:sz w:val="28"/>
          <w:szCs w:val="28"/>
        </w:rPr>
      </w:pPr>
    </w:p>
    <w:p>
      <w:pPr>
        <w:adjustRightInd w:val="0"/>
        <w:snapToGrid w:val="0"/>
        <w:spacing w:line="360" w:lineRule="auto"/>
        <w:ind w:firstLine="560" w:firstLineChars="200"/>
        <w:jc w:val="right"/>
        <w:rPr>
          <w:rFonts w:ascii="仿宋" w:hAnsi="仿宋" w:eastAsia="仿宋" w:cs="仿宋"/>
          <w:bCs/>
          <w:sz w:val="28"/>
          <w:szCs w:val="28"/>
        </w:rPr>
      </w:pPr>
      <w:r>
        <w:rPr>
          <w:rFonts w:hint="eastAsia" w:ascii="仿宋" w:hAnsi="仿宋" w:eastAsia="仿宋" w:cs="仿宋"/>
          <w:bCs/>
          <w:sz w:val="28"/>
          <w:szCs w:val="28"/>
        </w:rPr>
        <w:t xml:space="preserve">                          安徽六安技师学院</w:t>
      </w:r>
    </w:p>
    <w:p>
      <w:pPr>
        <w:adjustRightInd w:val="0"/>
        <w:snapToGrid w:val="0"/>
        <w:spacing w:line="360" w:lineRule="auto"/>
        <w:ind w:firstLine="560" w:firstLineChars="200"/>
        <w:jc w:val="right"/>
        <w:rPr>
          <w:rFonts w:ascii="仿宋" w:hAnsi="仿宋" w:eastAsia="仿宋" w:cs="仿宋"/>
          <w:bCs/>
          <w:sz w:val="28"/>
          <w:szCs w:val="28"/>
        </w:rPr>
      </w:pPr>
      <w:r>
        <w:rPr>
          <w:rFonts w:hint="eastAsia" w:ascii="仿宋" w:hAnsi="仿宋" w:eastAsia="仿宋" w:cs="仿宋"/>
          <w:bCs/>
          <w:sz w:val="28"/>
          <w:szCs w:val="28"/>
        </w:rPr>
        <w:t xml:space="preserve">安徽国建招标造价有限公司  </w:t>
      </w:r>
    </w:p>
    <w:p>
      <w:pPr>
        <w:adjustRightInd w:val="0"/>
        <w:snapToGrid w:val="0"/>
        <w:spacing w:line="360" w:lineRule="auto"/>
        <w:ind w:firstLine="560" w:firstLineChars="200"/>
        <w:jc w:val="right"/>
        <w:rPr>
          <w:rFonts w:hint="eastAsia"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5</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4</w:t>
      </w:r>
      <w:r>
        <w:rPr>
          <w:rFonts w:hint="eastAsia" w:ascii="仿宋" w:hAnsi="仿宋" w:eastAsia="仿宋" w:cs="仿宋"/>
          <w:bCs/>
          <w:sz w:val="28"/>
          <w:szCs w:val="28"/>
        </w:rPr>
        <w:t>日</w:t>
      </w:r>
    </w:p>
    <w:p>
      <w:pPr>
        <w:pStyle w:val="20"/>
        <w:rPr>
          <w:rFonts w:hint="eastAsia" w:ascii="仿宋" w:hAnsi="仿宋" w:eastAsia="仿宋" w:cs="仿宋"/>
          <w:bCs/>
          <w:sz w:val="28"/>
          <w:szCs w:val="28"/>
        </w:rPr>
      </w:pPr>
    </w:p>
    <w:p>
      <w:pPr>
        <w:rPr>
          <w:rFonts w:hint="eastAsia" w:ascii="仿宋" w:hAnsi="仿宋" w:eastAsia="仿宋" w:cs="仿宋"/>
          <w:bCs/>
          <w:sz w:val="28"/>
          <w:szCs w:val="28"/>
        </w:rPr>
      </w:pPr>
    </w:p>
    <w:p>
      <w:pPr>
        <w:pStyle w:val="20"/>
        <w:rPr>
          <w:rFonts w:hint="eastAsia" w:ascii="仿宋" w:hAnsi="仿宋" w:eastAsia="仿宋" w:cs="仿宋"/>
          <w:bCs/>
          <w:sz w:val="28"/>
          <w:szCs w:val="28"/>
        </w:rPr>
      </w:pPr>
    </w:p>
    <w:p>
      <w:pPr>
        <w:rPr>
          <w:rFonts w:hint="eastAsia" w:ascii="仿宋" w:hAnsi="仿宋" w:eastAsia="仿宋" w:cs="仿宋"/>
          <w:bCs/>
          <w:sz w:val="28"/>
          <w:szCs w:val="28"/>
        </w:rPr>
      </w:pPr>
    </w:p>
    <w:p>
      <w:pPr>
        <w:pStyle w:val="20"/>
        <w:rPr>
          <w:rFonts w:hint="eastAsia" w:ascii="仿宋" w:hAnsi="仿宋" w:eastAsia="仿宋" w:cs="仿宋"/>
          <w:bCs/>
          <w:sz w:val="28"/>
          <w:szCs w:val="28"/>
        </w:rPr>
      </w:pPr>
    </w:p>
    <w:p>
      <w:pPr>
        <w:rPr>
          <w:rFonts w:hint="eastAsia" w:ascii="仿宋" w:hAnsi="仿宋" w:eastAsia="仿宋" w:cs="仿宋"/>
          <w:bCs/>
          <w:sz w:val="28"/>
          <w:szCs w:val="28"/>
        </w:rPr>
      </w:pPr>
    </w:p>
    <w:p>
      <w:pPr>
        <w:pStyle w:val="20"/>
        <w:rPr>
          <w:rFonts w:hint="eastAsia" w:ascii="仿宋" w:hAnsi="仿宋" w:eastAsia="仿宋" w:cs="仿宋"/>
          <w:bCs/>
          <w:sz w:val="28"/>
          <w:szCs w:val="28"/>
        </w:rPr>
      </w:pPr>
    </w:p>
    <w:p>
      <w:pPr>
        <w:rPr>
          <w:rFonts w:hint="eastAsia" w:ascii="仿宋" w:hAnsi="仿宋" w:eastAsia="仿宋" w:cs="仿宋"/>
          <w:bCs/>
          <w:sz w:val="28"/>
          <w:szCs w:val="28"/>
        </w:rPr>
      </w:pPr>
    </w:p>
    <w:p>
      <w:pPr>
        <w:pStyle w:val="20"/>
        <w:rPr>
          <w:rFonts w:hint="eastAsia" w:ascii="仿宋" w:hAnsi="仿宋" w:eastAsia="仿宋" w:cs="仿宋"/>
          <w:bCs/>
          <w:sz w:val="28"/>
          <w:szCs w:val="28"/>
        </w:rPr>
      </w:pPr>
    </w:p>
    <w:p>
      <w:pPr>
        <w:rPr>
          <w:rFonts w:hint="eastAsia" w:ascii="仿宋" w:hAnsi="仿宋" w:eastAsia="仿宋" w:cs="仿宋"/>
          <w:bCs/>
          <w:sz w:val="28"/>
          <w:szCs w:val="28"/>
        </w:rPr>
      </w:pPr>
    </w:p>
    <w:p>
      <w:pPr>
        <w:pStyle w:val="20"/>
        <w:rPr>
          <w:rFonts w:hint="eastAsia" w:ascii="仿宋" w:hAnsi="仿宋" w:eastAsia="仿宋" w:cs="仿宋"/>
          <w:bCs/>
          <w:sz w:val="28"/>
          <w:szCs w:val="28"/>
        </w:rPr>
      </w:pPr>
    </w:p>
    <w:p>
      <w:pPr>
        <w:rPr>
          <w:rFonts w:hint="eastAsia" w:ascii="仿宋" w:hAnsi="仿宋" w:eastAsia="仿宋" w:cs="仿宋"/>
          <w:bCs/>
          <w:sz w:val="28"/>
          <w:szCs w:val="28"/>
        </w:rPr>
      </w:pPr>
    </w:p>
    <w:p>
      <w:pPr>
        <w:pStyle w:val="20"/>
        <w:rPr>
          <w:rFonts w:hint="eastAsia" w:ascii="仿宋" w:hAnsi="仿宋" w:eastAsia="仿宋" w:cs="仿宋"/>
          <w:bCs/>
          <w:sz w:val="28"/>
          <w:szCs w:val="28"/>
        </w:rPr>
      </w:pPr>
    </w:p>
    <w:p>
      <w:pPr>
        <w:rPr>
          <w:rFonts w:hint="eastAsia" w:ascii="仿宋" w:hAnsi="仿宋" w:eastAsia="仿宋" w:cs="仿宋"/>
          <w:bCs/>
          <w:sz w:val="28"/>
          <w:szCs w:val="28"/>
        </w:rPr>
      </w:pPr>
    </w:p>
    <w:p>
      <w:pPr>
        <w:pStyle w:val="20"/>
        <w:rPr>
          <w:rFonts w:hint="eastAsia" w:ascii="仿宋" w:hAnsi="仿宋" w:eastAsia="仿宋" w:cs="仿宋"/>
          <w:bCs/>
          <w:sz w:val="28"/>
          <w:szCs w:val="28"/>
        </w:rPr>
      </w:pPr>
    </w:p>
    <w:p>
      <w:pPr>
        <w:rPr>
          <w:rFonts w:hint="eastAsia" w:ascii="仿宋" w:hAnsi="仿宋" w:eastAsia="仿宋" w:cs="仿宋"/>
          <w:bCs/>
          <w:sz w:val="28"/>
          <w:szCs w:val="28"/>
        </w:rPr>
      </w:pPr>
    </w:p>
    <w:p>
      <w:pPr>
        <w:pStyle w:val="20"/>
        <w:rPr>
          <w:rFonts w:hint="eastAsia" w:ascii="仿宋" w:hAnsi="仿宋" w:eastAsia="仿宋" w:cs="仿宋"/>
          <w:bCs/>
          <w:sz w:val="28"/>
          <w:szCs w:val="28"/>
        </w:rPr>
      </w:pPr>
    </w:p>
    <w:p>
      <w:pPr>
        <w:rPr>
          <w:rFonts w:hint="eastAsia" w:ascii="仿宋" w:hAnsi="仿宋" w:eastAsia="仿宋" w:cs="仿宋"/>
          <w:bCs/>
          <w:sz w:val="28"/>
          <w:szCs w:val="28"/>
        </w:rPr>
      </w:pPr>
    </w:p>
    <w:p>
      <w:pPr>
        <w:pStyle w:val="20"/>
        <w:rPr>
          <w:rFonts w:hint="eastAsia" w:ascii="仿宋" w:hAnsi="仿宋" w:eastAsia="仿宋" w:cs="仿宋"/>
          <w:bCs/>
          <w:sz w:val="28"/>
          <w:szCs w:val="28"/>
        </w:rPr>
      </w:pPr>
    </w:p>
    <w:p>
      <w:pPr>
        <w:rPr>
          <w:rFonts w:hint="eastAsia" w:ascii="仿宋" w:hAnsi="仿宋" w:eastAsia="仿宋" w:cs="仿宋"/>
          <w:bCs/>
          <w:sz w:val="28"/>
          <w:szCs w:val="28"/>
        </w:rPr>
      </w:pPr>
    </w:p>
    <w:p>
      <w:pPr>
        <w:pStyle w:val="20"/>
      </w:pPr>
    </w:p>
    <w:p>
      <w:pPr>
        <w:pStyle w:val="5"/>
        <w:widowControl/>
        <w:shd w:val="clear" w:color="auto" w:fill="FFFFFF"/>
        <w:spacing w:beforeLines="30" w:afterLines="30" w:line="500" w:lineRule="exact"/>
        <w:ind w:right="-21" w:firstLine="643" w:firstLineChars="200"/>
        <w:jc w:val="center"/>
        <w:rPr>
          <w:rFonts w:ascii="仿宋" w:hAnsi="仿宋" w:eastAsia="仿宋" w:cs="仿宋"/>
          <w:szCs w:val="28"/>
        </w:rPr>
      </w:pPr>
      <w:bookmarkStart w:id="16" w:name="_Toc22037"/>
      <w:bookmarkStart w:id="17" w:name="_Toc16555"/>
      <w:bookmarkStart w:id="18" w:name="_Toc26407"/>
      <w:bookmarkStart w:id="19" w:name="_Toc26430"/>
      <w:bookmarkStart w:id="20" w:name="_Toc2250"/>
      <w:bookmarkStart w:id="21" w:name="_Toc30907"/>
      <w:bookmarkStart w:id="22" w:name="_Toc5242"/>
      <w:bookmarkStart w:id="23" w:name="_Toc101102110"/>
      <w:bookmarkStart w:id="24" w:name="_Toc24933"/>
      <w:bookmarkStart w:id="25" w:name="_Toc28774"/>
      <w:bookmarkStart w:id="26" w:name="_Toc675"/>
      <w:r>
        <w:rPr>
          <w:rStyle w:val="61"/>
          <w:rFonts w:hint="eastAsia" w:ascii="黑体" w:hAnsi="黑体" w:eastAsia="黑体" w:cs="黑体"/>
          <w:b/>
          <w:bCs/>
          <w:sz w:val="32"/>
          <w:szCs w:val="32"/>
        </w:rPr>
        <w:t>第二章 供应商须</w:t>
      </w:r>
      <w:bookmarkEnd w:id="12"/>
      <w:r>
        <w:rPr>
          <w:rStyle w:val="61"/>
          <w:rFonts w:hint="eastAsia" w:ascii="黑体" w:hAnsi="黑体" w:eastAsia="黑体" w:cs="黑体"/>
          <w:b/>
          <w:bCs/>
          <w:sz w:val="32"/>
          <w:szCs w:val="32"/>
        </w:rPr>
        <w:t>知前</w:t>
      </w:r>
      <w:bookmarkEnd w:id="13"/>
      <w:r>
        <w:rPr>
          <w:rStyle w:val="61"/>
          <w:rFonts w:hint="eastAsia" w:ascii="黑体" w:hAnsi="黑体" w:eastAsia="黑体" w:cs="黑体"/>
          <w:b/>
          <w:bCs/>
          <w:sz w:val="32"/>
          <w:szCs w:val="32"/>
        </w:rPr>
        <w:t>附表</w:t>
      </w:r>
      <w:bookmarkEnd w:id="16"/>
      <w:bookmarkEnd w:id="17"/>
      <w:bookmarkEnd w:id="18"/>
      <w:bookmarkEnd w:id="19"/>
      <w:bookmarkEnd w:id="20"/>
      <w:bookmarkEnd w:id="21"/>
      <w:bookmarkEnd w:id="22"/>
      <w:bookmarkEnd w:id="23"/>
      <w:bookmarkEnd w:id="24"/>
      <w:bookmarkEnd w:id="25"/>
      <w:bookmarkEnd w:id="26"/>
    </w:p>
    <w:tbl>
      <w:tblPr>
        <w:tblStyle w:val="40"/>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70"/>
        <w:gridCol w:w="2235"/>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70" w:type="dxa"/>
            <w:vAlign w:val="center"/>
          </w:tcPr>
          <w:p>
            <w:pPr>
              <w:spacing w:line="440" w:lineRule="exact"/>
              <w:jc w:val="center"/>
              <w:rPr>
                <w:rFonts w:ascii="仿宋" w:hAnsi="仿宋" w:eastAsia="仿宋" w:cs="仿宋"/>
                <w:b/>
                <w:sz w:val="28"/>
                <w:szCs w:val="28"/>
              </w:rPr>
            </w:pPr>
            <w:r>
              <w:rPr>
                <w:rFonts w:hint="eastAsia" w:ascii="仿宋" w:hAnsi="仿宋" w:eastAsia="仿宋" w:cs="仿宋"/>
                <w:b/>
                <w:sz w:val="28"/>
                <w:szCs w:val="28"/>
              </w:rPr>
              <w:t>序号</w:t>
            </w:r>
          </w:p>
        </w:tc>
        <w:tc>
          <w:tcPr>
            <w:tcW w:w="2235" w:type="dxa"/>
            <w:vAlign w:val="center"/>
          </w:tcPr>
          <w:p>
            <w:pPr>
              <w:spacing w:line="440" w:lineRule="exact"/>
              <w:jc w:val="center"/>
              <w:rPr>
                <w:rFonts w:ascii="仿宋" w:hAnsi="仿宋" w:eastAsia="仿宋" w:cs="仿宋"/>
                <w:b/>
                <w:sz w:val="28"/>
                <w:szCs w:val="28"/>
              </w:rPr>
            </w:pPr>
            <w:r>
              <w:rPr>
                <w:rFonts w:hint="eastAsia" w:ascii="仿宋" w:hAnsi="仿宋" w:eastAsia="仿宋" w:cs="仿宋"/>
                <w:b/>
                <w:sz w:val="28"/>
                <w:szCs w:val="28"/>
              </w:rPr>
              <w:t>内容</w:t>
            </w:r>
          </w:p>
        </w:tc>
        <w:tc>
          <w:tcPr>
            <w:tcW w:w="6450" w:type="dxa"/>
            <w:vAlign w:val="center"/>
          </w:tcPr>
          <w:p>
            <w:pPr>
              <w:pStyle w:val="94"/>
              <w:widowControl w:val="0"/>
              <w:spacing w:before="0" w:beforeAutospacing="0" w:after="0" w:afterAutospacing="0" w:line="440" w:lineRule="exact"/>
              <w:rPr>
                <w:rFonts w:ascii="仿宋" w:hAnsi="仿宋" w:eastAsia="仿宋" w:cs="仿宋"/>
                <w:bCs w:val="0"/>
                <w:kern w:val="2"/>
              </w:rPr>
            </w:pPr>
            <w:r>
              <w:rPr>
                <w:rFonts w:hint="eastAsia" w:ascii="仿宋" w:hAnsi="仿宋" w:eastAsia="仿宋" w:cs="仿宋"/>
                <w:bCs w:val="0"/>
                <w:kern w:val="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w:t>
            </w:r>
          </w:p>
        </w:tc>
        <w:tc>
          <w:tcPr>
            <w:tcW w:w="2235" w:type="dxa"/>
            <w:vAlign w:val="center"/>
          </w:tcPr>
          <w:p>
            <w:pPr>
              <w:spacing w:line="440" w:lineRule="exact"/>
              <w:jc w:val="center"/>
              <w:rPr>
                <w:rFonts w:ascii="仿宋" w:hAnsi="仿宋" w:eastAsia="仿宋" w:cs="仿宋"/>
                <w:sz w:val="28"/>
                <w:szCs w:val="28"/>
              </w:rPr>
            </w:pPr>
            <w:r>
              <w:rPr>
                <w:rFonts w:hint="eastAsia" w:ascii="仿宋" w:hAnsi="仿宋" w:eastAsia="仿宋" w:cs="仿宋"/>
                <w:bCs/>
                <w:sz w:val="28"/>
                <w:szCs w:val="28"/>
              </w:rPr>
              <w:t>采购人</w:t>
            </w:r>
          </w:p>
        </w:tc>
        <w:tc>
          <w:tcPr>
            <w:tcW w:w="6450"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安徽六安技师学院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2</w:t>
            </w:r>
          </w:p>
        </w:tc>
        <w:tc>
          <w:tcPr>
            <w:tcW w:w="2235" w:type="dxa"/>
            <w:vAlign w:val="center"/>
          </w:tcPr>
          <w:p>
            <w:pPr>
              <w:spacing w:line="440" w:lineRule="exact"/>
              <w:jc w:val="center"/>
              <w:rPr>
                <w:rFonts w:ascii="仿宋" w:hAnsi="仿宋" w:eastAsia="仿宋" w:cs="仿宋"/>
                <w:bCs/>
                <w:sz w:val="28"/>
                <w:szCs w:val="28"/>
              </w:rPr>
            </w:pPr>
            <w:r>
              <w:rPr>
                <w:rFonts w:hint="eastAsia" w:ascii="仿宋" w:hAnsi="仿宋" w:eastAsia="仿宋" w:cs="仿宋"/>
                <w:sz w:val="28"/>
                <w:szCs w:val="28"/>
              </w:rPr>
              <w:t>代理机构</w:t>
            </w:r>
          </w:p>
        </w:tc>
        <w:tc>
          <w:tcPr>
            <w:tcW w:w="6450" w:type="dxa"/>
            <w:vAlign w:val="center"/>
          </w:tcPr>
          <w:p>
            <w:pPr>
              <w:jc w:val="left"/>
              <w:rPr>
                <w:rFonts w:ascii="仿宋" w:hAnsi="仿宋" w:eastAsia="仿宋" w:cs="仿宋"/>
                <w:sz w:val="28"/>
                <w:szCs w:val="28"/>
              </w:rPr>
            </w:pPr>
            <w:r>
              <w:rPr>
                <w:rFonts w:hint="eastAsia" w:ascii="仿宋" w:hAnsi="仿宋" w:eastAsia="仿宋" w:cs="仿宋"/>
                <w:sz w:val="28"/>
                <w:szCs w:val="28"/>
              </w:rPr>
              <w:t>名  称：安徽国建招标造价有限公司</w:t>
            </w:r>
          </w:p>
          <w:p>
            <w:pPr>
              <w:jc w:val="left"/>
              <w:rPr>
                <w:rFonts w:ascii="仿宋" w:hAnsi="仿宋" w:eastAsia="仿宋" w:cs="仿宋"/>
                <w:b/>
                <w:bCs/>
                <w:sz w:val="28"/>
                <w:szCs w:val="28"/>
              </w:rPr>
            </w:pPr>
            <w:r>
              <w:rPr>
                <w:rFonts w:hint="eastAsia" w:ascii="仿宋" w:hAnsi="仿宋" w:eastAsia="仿宋" w:cs="仿宋"/>
                <w:sz w:val="28"/>
                <w:szCs w:val="28"/>
              </w:rPr>
              <w:t>地  址：六安市文汇大厦1225室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3</w:t>
            </w:r>
          </w:p>
        </w:tc>
        <w:tc>
          <w:tcPr>
            <w:tcW w:w="2235"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响应有效期</w:t>
            </w:r>
          </w:p>
        </w:tc>
        <w:tc>
          <w:tcPr>
            <w:tcW w:w="6450" w:type="dxa"/>
            <w:vAlign w:val="center"/>
          </w:tcPr>
          <w:p>
            <w:pPr>
              <w:pStyle w:val="94"/>
              <w:widowControl w:val="0"/>
              <w:spacing w:before="0" w:beforeAutospacing="0" w:after="0" w:afterAutospacing="0" w:line="440" w:lineRule="exact"/>
              <w:jc w:val="both"/>
              <w:rPr>
                <w:rFonts w:ascii="仿宋" w:hAnsi="仿宋" w:eastAsia="仿宋" w:cs="仿宋"/>
                <w:b w:val="0"/>
                <w:bCs w:val="0"/>
              </w:rPr>
            </w:pPr>
            <w:r>
              <w:rPr>
                <w:rFonts w:hint="eastAsia" w:ascii="仿宋" w:hAnsi="仿宋" w:eastAsia="仿宋" w:cs="仿宋"/>
                <w:b w:val="0"/>
                <w:bCs w:val="0"/>
              </w:rPr>
              <w:t>发包截止日后30天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4</w:t>
            </w:r>
          </w:p>
        </w:tc>
        <w:tc>
          <w:tcPr>
            <w:tcW w:w="2235"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保证金有效期</w:t>
            </w:r>
          </w:p>
        </w:tc>
        <w:tc>
          <w:tcPr>
            <w:tcW w:w="6450" w:type="dxa"/>
            <w:vAlign w:val="center"/>
          </w:tcPr>
          <w:p>
            <w:pPr>
              <w:spacing w:line="440" w:lineRule="exact"/>
              <w:rPr>
                <w:rFonts w:ascii="仿宋" w:hAnsi="仿宋" w:eastAsia="仿宋" w:cs="仿宋"/>
                <w:b/>
                <w:bCs/>
                <w:sz w:val="28"/>
                <w:szCs w:val="28"/>
              </w:rPr>
            </w:pPr>
            <w:r>
              <w:rPr>
                <w:rFonts w:hint="eastAsia" w:ascii="仿宋" w:hAnsi="仿宋" w:eastAsia="仿宋" w:cs="仿宋"/>
                <w:sz w:val="28"/>
                <w:szCs w:val="28"/>
              </w:rPr>
              <w:t>发包截止日后30天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5</w:t>
            </w:r>
          </w:p>
        </w:tc>
        <w:tc>
          <w:tcPr>
            <w:tcW w:w="2235"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响应保证金</w:t>
            </w:r>
          </w:p>
        </w:tc>
        <w:tc>
          <w:tcPr>
            <w:tcW w:w="6450" w:type="dxa"/>
            <w:vAlign w:val="center"/>
          </w:tcPr>
          <w:p>
            <w:pPr>
              <w:rPr>
                <w:rFonts w:hint="eastAsia" w:ascii="仿宋" w:hAnsi="仿宋" w:eastAsia="仿宋" w:cs="仿宋"/>
                <w:sz w:val="28"/>
                <w:szCs w:val="28"/>
                <w:lang w:eastAsia="zh-CN"/>
              </w:rPr>
            </w:pPr>
            <w:r>
              <w:rPr>
                <w:rFonts w:hint="eastAsia" w:ascii="仿宋" w:hAnsi="仿宋" w:eastAsia="仿宋" w:cs="仿宋"/>
                <w:sz w:val="28"/>
                <w:szCs w:val="28"/>
                <w:lang w:eastAsia="zh-CN"/>
              </w:rPr>
              <w:t>本项目不设置响应保证金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31"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6</w:t>
            </w:r>
          </w:p>
        </w:tc>
        <w:tc>
          <w:tcPr>
            <w:tcW w:w="2235" w:type="dxa"/>
            <w:vAlign w:val="center"/>
          </w:tcPr>
          <w:p>
            <w:pPr>
              <w:spacing w:line="440" w:lineRule="exact"/>
              <w:jc w:val="center"/>
              <w:rPr>
                <w:rFonts w:ascii="仿宋" w:hAnsi="仿宋" w:eastAsia="仿宋" w:cs="仿宋"/>
                <w:b/>
                <w:sz w:val="28"/>
                <w:szCs w:val="28"/>
              </w:rPr>
            </w:pPr>
            <w:r>
              <w:rPr>
                <w:rFonts w:hint="eastAsia" w:ascii="仿宋" w:hAnsi="仿宋" w:eastAsia="仿宋" w:cs="仿宋"/>
                <w:sz w:val="28"/>
                <w:szCs w:val="28"/>
              </w:rPr>
              <w:t>项目类型</w:t>
            </w:r>
          </w:p>
        </w:tc>
        <w:tc>
          <w:tcPr>
            <w:tcW w:w="6450" w:type="dxa"/>
            <w:vAlign w:val="center"/>
          </w:tcPr>
          <w:p>
            <w:pPr>
              <w:pStyle w:val="94"/>
              <w:widowControl w:val="0"/>
              <w:spacing w:before="0" w:beforeAutospacing="0" w:after="0" w:afterAutospacing="0" w:line="440" w:lineRule="exact"/>
              <w:jc w:val="both"/>
              <w:rPr>
                <w:rFonts w:hint="eastAsia" w:ascii="仿宋" w:hAnsi="仿宋" w:eastAsia="仿宋" w:cs="仿宋"/>
                <w:bCs w:val="0"/>
                <w:lang w:eastAsia="zh-CN"/>
              </w:rPr>
            </w:pPr>
            <w:r>
              <w:rPr>
                <w:rFonts w:hint="eastAsia" w:ascii="仿宋" w:hAnsi="仿宋" w:eastAsia="仿宋" w:cs="仿宋"/>
                <w:b w:val="0"/>
                <w:bCs w:val="0"/>
                <w:lang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7</w:t>
            </w:r>
          </w:p>
        </w:tc>
        <w:tc>
          <w:tcPr>
            <w:tcW w:w="2235"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6450" w:type="dxa"/>
            <w:vAlign w:val="center"/>
          </w:tcPr>
          <w:p>
            <w:pPr>
              <w:widowControl/>
              <w:shd w:val="clear" w:color="auto" w:fill="FFFFFF"/>
              <w:spacing w:line="480" w:lineRule="exact"/>
              <w:rPr>
                <w:rFonts w:ascii="仿宋" w:hAnsi="仿宋" w:eastAsia="仿宋" w:cs="仿宋"/>
                <w:sz w:val="28"/>
                <w:szCs w:val="28"/>
              </w:rPr>
            </w:pPr>
            <w:r>
              <w:rPr>
                <w:rFonts w:hint="eastAsia" w:ascii="仿宋" w:hAnsi="仿宋" w:eastAsia="仿宋" w:cs="仿宋"/>
                <w:b w:val="0"/>
                <w:bCs w:val="0"/>
                <w:kern w:val="0"/>
                <w:sz w:val="28"/>
                <w:szCs w:val="28"/>
              </w:rPr>
              <w:t>安徽六安技师学院教职工之家设备采购项目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8</w:t>
            </w:r>
          </w:p>
        </w:tc>
        <w:tc>
          <w:tcPr>
            <w:tcW w:w="2235" w:type="dxa"/>
            <w:vAlign w:val="center"/>
          </w:tcPr>
          <w:p>
            <w:pPr>
              <w:spacing w:line="440" w:lineRule="exact"/>
              <w:jc w:val="center"/>
              <w:rPr>
                <w:rFonts w:ascii="仿宋" w:hAnsi="仿宋" w:eastAsia="仿宋" w:cs="仿宋"/>
                <w:sz w:val="28"/>
                <w:szCs w:val="28"/>
              </w:rPr>
            </w:pPr>
            <w:r>
              <w:rPr>
                <w:rFonts w:hint="eastAsia" w:ascii="仿宋" w:hAnsi="仿宋" w:eastAsia="仿宋" w:cs="仿宋"/>
                <w:kern w:val="0"/>
                <w:sz w:val="28"/>
                <w:szCs w:val="28"/>
              </w:rPr>
              <w:t>项目编号</w:t>
            </w:r>
          </w:p>
        </w:tc>
        <w:tc>
          <w:tcPr>
            <w:tcW w:w="6450" w:type="dxa"/>
            <w:vAlign w:val="center"/>
          </w:tcPr>
          <w:p>
            <w:pPr>
              <w:pStyle w:val="94"/>
              <w:widowControl w:val="0"/>
              <w:spacing w:before="0" w:beforeAutospacing="0" w:after="0" w:afterAutospacing="0" w:line="440" w:lineRule="exact"/>
              <w:jc w:val="both"/>
              <w:rPr>
                <w:rFonts w:ascii="仿宋" w:hAnsi="仿宋" w:eastAsia="仿宋" w:cs="仿宋"/>
                <w:b w:val="0"/>
                <w:bCs w:val="0"/>
              </w:rPr>
            </w:pPr>
            <w:r>
              <w:rPr>
                <w:rFonts w:hint="eastAsia" w:ascii="仿宋" w:hAnsi="仿宋" w:eastAsia="仿宋" w:cs="仿宋"/>
                <w:b w:val="0"/>
                <w:bCs w:val="0"/>
                <w:kern w:val="0"/>
                <w:sz w:val="28"/>
                <w:szCs w:val="28"/>
                <w:lang w:val="en-US" w:eastAsia="zh-CN" w:bidi="ar-SA"/>
              </w:rPr>
              <w:t>GJZB2023G003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0"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9</w:t>
            </w:r>
          </w:p>
        </w:tc>
        <w:tc>
          <w:tcPr>
            <w:tcW w:w="2235"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项目地点</w:t>
            </w:r>
          </w:p>
        </w:tc>
        <w:tc>
          <w:tcPr>
            <w:tcW w:w="6450" w:type="dxa"/>
            <w:vAlign w:val="center"/>
          </w:tcPr>
          <w:p>
            <w:pPr>
              <w:spacing w:line="440" w:lineRule="exact"/>
              <w:rPr>
                <w:rFonts w:ascii="仿宋" w:hAnsi="仿宋" w:eastAsia="仿宋" w:cs="仿宋"/>
                <w:sz w:val="28"/>
                <w:szCs w:val="28"/>
              </w:rPr>
            </w:pPr>
            <w:r>
              <w:rPr>
                <w:rFonts w:hint="eastAsia" w:ascii="仿宋" w:hAnsi="仿宋" w:eastAsia="仿宋" w:cs="仿宋"/>
                <w:sz w:val="28"/>
                <w:szCs w:val="28"/>
              </w:rPr>
              <w:t>安徽六安技师学院第二校区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10</w:t>
            </w:r>
          </w:p>
        </w:tc>
        <w:tc>
          <w:tcPr>
            <w:tcW w:w="2235"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标段划分</w:t>
            </w:r>
          </w:p>
        </w:tc>
        <w:tc>
          <w:tcPr>
            <w:tcW w:w="6450" w:type="dxa"/>
            <w:vAlign w:val="bottom"/>
          </w:tcPr>
          <w:p>
            <w:pPr>
              <w:spacing w:line="440" w:lineRule="exact"/>
              <w:ind w:right="-21"/>
              <w:jc w:val="left"/>
              <w:rPr>
                <w:rFonts w:ascii="仿宋" w:hAnsi="仿宋" w:eastAsia="仿宋" w:cs="仿宋"/>
                <w:sz w:val="28"/>
                <w:szCs w:val="28"/>
              </w:rPr>
            </w:pPr>
            <w:r>
              <w:rPr>
                <w:rFonts w:hint="eastAsia" w:ascii="仿宋" w:hAnsi="仿宋" w:eastAsia="仿宋" w:cs="仿宋"/>
                <w:sz w:val="28"/>
                <w:szCs w:val="28"/>
              </w:rPr>
              <w:t>不划分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11</w:t>
            </w:r>
          </w:p>
        </w:tc>
        <w:tc>
          <w:tcPr>
            <w:tcW w:w="2235"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lang w:eastAsia="zh-CN"/>
              </w:rPr>
              <w:t>供货及安装周期</w:t>
            </w:r>
          </w:p>
        </w:tc>
        <w:tc>
          <w:tcPr>
            <w:tcW w:w="6450" w:type="dxa"/>
            <w:vAlign w:val="center"/>
          </w:tcPr>
          <w:p>
            <w:pPr>
              <w:widowControl/>
              <w:shd w:val="clear" w:color="auto" w:fill="FFFFFF"/>
              <w:rPr>
                <w:rFonts w:ascii="仿宋" w:hAnsi="仿宋" w:eastAsia="仿宋" w:cs="仿宋"/>
                <w:sz w:val="28"/>
                <w:szCs w:val="28"/>
              </w:rPr>
            </w:pPr>
            <w:r>
              <w:rPr>
                <w:rFonts w:hint="eastAsia" w:ascii="仿宋" w:hAnsi="仿宋" w:eastAsia="仿宋" w:cs="仿宋"/>
                <w:kern w:val="0"/>
                <w:sz w:val="28"/>
                <w:szCs w:val="28"/>
                <w:lang w:val="en-US" w:eastAsia="zh-CN"/>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0" w:type="dxa"/>
            <w:vAlign w:val="center"/>
          </w:tcPr>
          <w:p>
            <w:pPr>
              <w:pStyle w:val="80"/>
              <w:pBdr>
                <w:bottom w:val="none" w:color="auto" w:sz="0" w:space="0"/>
              </w:pBdr>
              <w:tabs>
                <w:tab w:val="clear" w:pos="4153"/>
                <w:tab w:val="clear" w:pos="8306"/>
              </w:tabs>
              <w:adjustRightInd/>
              <w:spacing w:line="240" w:lineRule="auto"/>
              <w:textAlignment w:val="auto"/>
              <w:rPr>
                <w:rFonts w:ascii="仿宋" w:hAnsi="仿宋" w:eastAsia="仿宋" w:cs="仿宋"/>
                <w:b/>
                <w:kern w:val="2"/>
                <w:sz w:val="28"/>
                <w:szCs w:val="28"/>
              </w:rPr>
            </w:pPr>
            <w:r>
              <w:rPr>
                <w:rFonts w:hint="eastAsia" w:ascii="仿宋" w:hAnsi="仿宋" w:eastAsia="仿宋" w:cs="仿宋"/>
                <w:b/>
                <w:kern w:val="2"/>
                <w:sz w:val="28"/>
                <w:szCs w:val="28"/>
              </w:rPr>
              <w:t>12</w:t>
            </w:r>
          </w:p>
        </w:tc>
        <w:tc>
          <w:tcPr>
            <w:tcW w:w="2235"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sz w:val="28"/>
                <w:szCs w:val="28"/>
              </w:rPr>
            </w:pPr>
            <w:r>
              <w:rPr>
                <w:rFonts w:hint="eastAsia" w:ascii="仿宋" w:hAnsi="仿宋" w:eastAsia="仿宋" w:cs="仿宋"/>
                <w:bCs/>
                <w:kern w:val="2"/>
                <w:sz w:val="28"/>
                <w:szCs w:val="28"/>
              </w:rPr>
              <w:t>代理服务费</w:t>
            </w:r>
          </w:p>
        </w:tc>
        <w:tc>
          <w:tcPr>
            <w:tcW w:w="6450" w:type="dxa"/>
            <w:vAlign w:val="center"/>
          </w:tcPr>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
                <w:bCs/>
                <w:sz w:val="28"/>
                <w:szCs w:val="28"/>
              </w:rPr>
            </w:pPr>
            <w:r>
              <w:rPr>
                <w:rFonts w:hint="eastAsia" w:ascii="仿宋" w:hAnsi="仿宋" w:eastAsia="仿宋" w:cs="仿宋"/>
                <w:kern w:val="0"/>
                <w:sz w:val="28"/>
                <w:szCs w:val="28"/>
                <w:lang w:val="en-US" w:eastAsia="zh-CN" w:bidi="ar-SA"/>
              </w:rPr>
              <w:t>采购代理服务费、工程量清单和控制价编制费由成交人支付，以成交金额为计算基础，采购代理服务费、清单、控制价编制费按照国家计委计价格〔2002〕1980号文件、发改价格〔2011〕534号文件和皖价服〔2007〕86号文规定标准计取，专家评审费据实收取（无票），以上等费用由成交人在领取成交通知书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13</w:t>
            </w:r>
          </w:p>
        </w:tc>
        <w:tc>
          <w:tcPr>
            <w:tcW w:w="2235"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履约保证金</w:t>
            </w:r>
          </w:p>
        </w:tc>
        <w:tc>
          <w:tcPr>
            <w:tcW w:w="6450" w:type="dxa"/>
            <w:vAlign w:val="center"/>
          </w:tcPr>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sz w:val="28"/>
                <w:szCs w:val="28"/>
              </w:rPr>
            </w:pPr>
            <w:r>
              <w:rPr>
                <w:rFonts w:hint="eastAsia" w:ascii="仿宋" w:hAnsi="仿宋" w:eastAsia="仿宋" w:cs="仿宋"/>
                <w:sz w:val="28"/>
                <w:szCs w:val="28"/>
              </w:rPr>
              <w:t>本项目不设置履约保证金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14</w:t>
            </w:r>
          </w:p>
        </w:tc>
        <w:tc>
          <w:tcPr>
            <w:tcW w:w="2235"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勘察现场</w:t>
            </w:r>
          </w:p>
        </w:tc>
        <w:tc>
          <w:tcPr>
            <w:tcW w:w="6450" w:type="dxa"/>
            <w:vAlign w:val="center"/>
          </w:tcPr>
          <w:p>
            <w:pPr>
              <w:pStyle w:val="80"/>
              <w:pBdr>
                <w:bottom w:val="none" w:color="auto" w:sz="0" w:space="0"/>
              </w:pBdr>
              <w:tabs>
                <w:tab w:val="clear" w:pos="4153"/>
                <w:tab w:val="clear" w:pos="8306"/>
              </w:tabs>
              <w:adjustRightInd/>
              <w:spacing w:line="240" w:lineRule="auto"/>
              <w:jc w:val="both"/>
              <w:textAlignment w:val="auto"/>
              <w:rPr>
                <w:rFonts w:ascii="仿宋" w:hAnsi="仿宋" w:eastAsia="仿宋" w:cs="仿宋"/>
                <w:bCs/>
                <w:kern w:val="2"/>
                <w:sz w:val="28"/>
                <w:szCs w:val="28"/>
              </w:rPr>
            </w:pPr>
            <w:r>
              <w:rPr>
                <w:rFonts w:hint="eastAsia" w:ascii="仿宋" w:hAnsi="仿宋" w:eastAsia="仿宋" w:cs="仿宋"/>
                <w:bCs/>
                <w:kern w:val="2"/>
                <w:sz w:val="28"/>
                <w:szCs w:val="28"/>
              </w:rPr>
              <w:t xml:space="preserve">请各供应商自行勘踏。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4"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15</w:t>
            </w:r>
          </w:p>
        </w:tc>
        <w:tc>
          <w:tcPr>
            <w:tcW w:w="2235"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质疑与答疑</w:t>
            </w:r>
          </w:p>
        </w:tc>
        <w:tc>
          <w:tcPr>
            <w:tcW w:w="6450" w:type="dxa"/>
            <w:vAlign w:val="center"/>
          </w:tcPr>
          <w:p>
            <w:pPr>
              <w:pStyle w:val="80"/>
              <w:pBdr>
                <w:bottom w:val="none" w:color="auto" w:sz="0" w:space="0"/>
              </w:pBdr>
              <w:tabs>
                <w:tab w:val="clear" w:pos="4153"/>
                <w:tab w:val="clear" w:pos="8306"/>
              </w:tabs>
              <w:adjustRightInd/>
              <w:spacing w:line="240" w:lineRule="auto"/>
              <w:jc w:val="both"/>
              <w:textAlignment w:val="auto"/>
              <w:rPr>
                <w:rFonts w:ascii="仿宋" w:hAnsi="仿宋" w:eastAsia="仿宋" w:cs="仿宋"/>
                <w:bCs/>
                <w:kern w:val="2"/>
                <w:sz w:val="28"/>
                <w:szCs w:val="28"/>
              </w:rPr>
            </w:pPr>
            <w:r>
              <w:rPr>
                <w:rFonts w:hint="eastAsia" w:ascii="仿宋" w:hAnsi="仿宋" w:eastAsia="仿宋" w:cs="仿宋"/>
                <w:bCs/>
                <w:kern w:val="2"/>
                <w:sz w:val="28"/>
                <w:szCs w:val="28"/>
              </w:rPr>
              <w:t>供应商对采购文件如有疑问，应在采购截止时间3日前以电子邮件的形式同时向代理机构（852552408@qq.com）提出（无需递交纸质版），提出异议时须注明项目名称及项目编号但不得署名。采购人将会同代理机构对有必要答复的问题，在规定时间统一答复但不说明问题的来源（答复渠道：安徽六安技师学院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16</w:t>
            </w:r>
          </w:p>
        </w:tc>
        <w:tc>
          <w:tcPr>
            <w:tcW w:w="2235"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响应文件份数</w:t>
            </w:r>
          </w:p>
          <w:p>
            <w:pPr>
              <w:pStyle w:val="80"/>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及要求</w:t>
            </w:r>
          </w:p>
        </w:tc>
        <w:tc>
          <w:tcPr>
            <w:tcW w:w="6450" w:type="dxa"/>
            <w:vAlign w:val="center"/>
          </w:tcPr>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正本1份、副本2份；胶装成册、密封提交。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17</w:t>
            </w:r>
          </w:p>
        </w:tc>
        <w:tc>
          <w:tcPr>
            <w:tcW w:w="2235"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递交响应文件</w:t>
            </w:r>
          </w:p>
          <w:p>
            <w:pPr>
              <w:pStyle w:val="80"/>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注意事项</w:t>
            </w:r>
          </w:p>
        </w:tc>
        <w:tc>
          <w:tcPr>
            <w:tcW w:w="6450" w:type="dxa"/>
            <w:vAlign w:val="center"/>
          </w:tcPr>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发包文件必须在开标截止时间前递交。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18</w:t>
            </w:r>
          </w:p>
        </w:tc>
        <w:tc>
          <w:tcPr>
            <w:tcW w:w="2235"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备注一</w:t>
            </w:r>
          </w:p>
        </w:tc>
        <w:tc>
          <w:tcPr>
            <w:tcW w:w="6450" w:type="dxa"/>
            <w:vAlign w:val="center"/>
          </w:tcPr>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1、存在以下不良信用记录情形之一的，不得推荐为成交候选供应商：</w:t>
            </w:r>
          </w:p>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（1）供应商被人民法院列入失信被执行人的；</w:t>
            </w:r>
          </w:p>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（2）供应商被市场监督管理部门列入企业经营异常名录的；</w:t>
            </w:r>
          </w:p>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（3）供应商被税务部门列入重大税收违法案件当事人名单的；</w:t>
            </w:r>
          </w:p>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（4）供应商被采购监管部门列入采购严重违法失信行为记录名单的。</w:t>
            </w:r>
          </w:p>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2、不良信用记录查询渠道如下：</w:t>
            </w:r>
          </w:p>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（1）失信被执行人：信用中国官网（www.creditchina.gov.cn）</w:t>
            </w:r>
          </w:p>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（2）企业经营异常名录：信用中国官网（www.creditchina.gov.cn）</w:t>
            </w:r>
          </w:p>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（3）重大税收违法案件当事人名单：信用中国官网（www.creditchina.gov.cn）</w:t>
            </w:r>
          </w:p>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（4）采购严重违法失信行为记录名单：中国采购官网（www.ccgp.gov.cn）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19</w:t>
            </w:r>
          </w:p>
        </w:tc>
        <w:tc>
          <w:tcPr>
            <w:tcW w:w="2235"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备注二</w:t>
            </w:r>
          </w:p>
        </w:tc>
        <w:tc>
          <w:tcPr>
            <w:tcW w:w="6450" w:type="dxa"/>
            <w:vAlign w:val="center"/>
          </w:tcPr>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特别提醒：供应商参与本次采购活动应当诚信守法、公平竞争。如有以提供虚假材料（包括但不限于虚假技术参数响应、虚假业绩、虚假证书、虚假检测报告等）、串通投标、隐瞒失信信息等谋取成交（成交）的行为，一经发现，将报有关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20</w:t>
            </w:r>
          </w:p>
        </w:tc>
        <w:tc>
          <w:tcPr>
            <w:tcW w:w="2235"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关于联合体投标的相关约定</w:t>
            </w:r>
          </w:p>
        </w:tc>
        <w:tc>
          <w:tcPr>
            <w:tcW w:w="6450" w:type="dxa"/>
            <w:vAlign w:val="center"/>
          </w:tcPr>
          <w:p>
            <w:pPr>
              <w:pStyle w:val="80"/>
              <w:pBdr>
                <w:bottom w:val="none" w:color="auto" w:sz="0" w:space="0"/>
              </w:pBdr>
              <w:tabs>
                <w:tab w:val="clear" w:pos="4153"/>
                <w:tab w:val="clear" w:pos="8306"/>
              </w:tabs>
              <w:adjustRightInd/>
              <w:spacing w:line="240" w:lineRule="auto"/>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
                <w:kern w:val="2"/>
                <w:sz w:val="28"/>
                <w:szCs w:val="28"/>
              </w:rPr>
            </w:pPr>
            <w:r>
              <w:rPr>
                <w:rFonts w:hint="eastAsia" w:ascii="仿宋" w:hAnsi="仿宋" w:eastAsia="仿宋" w:cs="仿宋"/>
                <w:b/>
                <w:kern w:val="2"/>
                <w:sz w:val="28"/>
                <w:szCs w:val="28"/>
              </w:rPr>
              <w:t>21</w:t>
            </w:r>
          </w:p>
        </w:tc>
        <w:tc>
          <w:tcPr>
            <w:tcW w:w="2235" w:type="dxa"/>
            <w:vAlign w:val="center"/>
          </w:tcPr>
          <w:p>
            <w:pPr>
              <w:pStyle w:val="80"/>
              <w:pBdr>
                <w:bottom w:val="none" w:color="auto" w:sz="0" w:space="0"/>
              </w:pBdr>
              <w:tabs>
                <w:tab w:val="clear" w:pos="4153"/>
                <w:tab w:val="clear" w:pos="8306"/>
              </w:tabs>
              <w:adjustRightInd/>
              <w:spacing w:line="44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其他要求</w:t>
            </w:r>
          </w:p>
        </w:tc>
        <w:tc>
          <w:tcPr>
            <w:tcW w:w="6450" w:type="dxa"/>
            <w:vAlign w:val="center"/>
          </w:tcPr>
          <w:p>
            <w:pPr>
              <w:rPr>
                <w:rFonts w:ascii="仿宋" w:hAnsi="仿宋" w:eastAsia="仿宋" w:cs="仿宋"/>
                <w:bCs/>
                <w:sz w:val="28"/>
                <w:szCs w:val="28"/>
              </w:rPr>
            </w:pPr>
            <w:r>
              <w:rPr>
                <w:rFonts w:hint="eastAsia" w:ascii="仿宋" w:hAnsi="仿宋" w:eastAsia="仿宋" w:cs="仿宋"/>
                <w:bCs/>
                <w:sz w:val="28"/>
                <w:szCs w:val="28"/>
              </w:rPr>
              <w:t>1、供应商应认真阅读本发包文件中的“评分标准”、“采购需求”。</w:t>
            </w:r>
          </w:p>
          <w:p>
            <w:pPr>
              <w:jc w:val="left"/>
              <w:rPr>
                <w:rFonts w:ascii="仿宋" w:hAnsi="仿宋" w:eastAsia="仿宋" w:cs="仿宋"/>
                <w:bCs/>
                <w:sz w:val="28"/>
                <w:szCs w:val="28"/>
              </w:rPr>
            </w:pPr>
            <w:r>
              <w:rPr>
                <w:rFonts w:hint="eastAsia" w:ascii="仿宋" w:hAnsi="仿宋" w:eastAsia="仿宋" w:cs="仿宋"/>
                <w:bCs/>
                <w:sz w:val="28"/>
                <w:szCs w:val="28"/>
              </w:rPr>
              <w:t>2、若供应商在响应文件中提供了虚假材料，一经发现，将没收其响应保证金。</w:t>
            </w:r>
          </w:p>
          <w:p>
            <w:pPr>
              <w:pStyle w:val="39"/>
              <w:numPr>
                <w:ilvl w:val="255"/>
                <w:numId w:val="0"/>
              </w:numPr>
              <w:rPr>
                <w:rFonts w:ascii="仿宋" w:hAnsi="仿宋" w:eastAsia="仿宋" w:cs="仿宋"/>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供应商不得</w:t>
            </w:r>
            <w:r>
              <w:rPr>
                <w:rFonts w:hint="eastAsia" w:ascii="仿宋" w:hAnsi="仿宋" w:eastAsia="仿宋" w:cs="仿宋"/>
                <w:bCs/>
                <w:color w:val="000000"/>
                <w:sz w:val="28"/>
                <w:szCs w:val="28"/>
              </w:rPr>
              <w:t>转包、</w:t>
            </w:r>
            <w:r>
              <w:rPr>
                <w:rFonts w:hint="eastAsia" w:ascii="仿宋" w:hAnsi="仿宋" w:eastAsia="仿宋" w:cs="仿宋"/>
                <w:bCs/>
                <w:color w:val="000000"/>
                <w:sz w:val="28"/>
                <w:szCs w:val="28"/>
                <w:lang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70" w:type="dxa"/>
            <w:vAlign w:val="center"/>
          </w:tcPr>
          <w:p>
            <w:pPr>
              <w:pStyle w:val="80"/>
              <w:pBdr>
                <w:bottom w:val="none" w:color="auto" w:sz="0" w:space="0"/>
              </w:pBdr>
              <w:tabs>
                <w:tab w:val="clear" w:pos="4153"/>
                <w:tab w:val="clear" w:pos="8306"/>
              </w:tabs>
              <w:adjustRightInd/>
              <w:spacing w:line="440" w:lineRule="exact"/>
              <w:textAlignment w:val="auto"/>
              <w:rPr>
                <w:rFonts w:hint="default" w:ascii="仿宋" w:hAnsi="仿宋" w:eastAsia="仿宋" w:cs="仿宋"/>
                <w:b/>
                <w:kern w:val="2"/>
                <w:sz w:val="28"/>
                <w:szCs w:val="28"/>
                <w:lang w:val="en-US" w:eastAsia="zh-CN"/>
              </w:rPr>
            </w:pPr>
            <w:r>
              <w:rPr>
                <w:rFonts w:hint="eastAsia" w:ascii="仿宋" w:hAnsi="仿宋" w:eastAsia="仿宋" w:cs="仿宋"/>
                <w:b/>
                <w:kern w:val="2"/>
                <w:sz w:val="28"/>
                <w:szCs w:val="28"/>
                <w:lang w:val="en-US" w:eastAsia="zh-CN"/>
              </w:rPr>
              <w:t>22</w:t>
            </w:r>
          </w:p>
        </w:tc>
        <w:tc>
          <w:tcPr>
            <w:tcW w:w="2235" w:type="dxa"/>
            <w:vAlign w:val="center"/>
          </w:tcPr>
          <w:p>
            <w:pPr>
              <w:pStyle w:val="80"/>
              <w:pBdr>
                <w:bottom w:val="none" w:color="auto" w:sz="0" w:space="0"/>
              </w:pBdr>
              <w:tabs>
                <w:tab w:val="clear" w:pos="4153"/>
                <w:tab w:val="clear" w:pos="8306"/>
              </w:tabs>
              <w:adjustRightInd/>
              <w:spacing w:line="440" w:lineRule="exact"/>
              <w:textAlignment w:val="auto"/>
              <w:rPr>
                <w:rFonts w:hint="eastAsia" w:ascii="仿宋" w:hAnsi="仿宋" w:eastAsia="仿宋" w:cs="仿宋"/>
                <w:bCs/>
                <w:kern w:val="2"/>
                <w:sz w:val="28"/>
                <w:szCs w:val="28"/>
                <w:lang w:eastAsia="zh-CN"/>
              </w:rPr>
            </w:pPr>
            <w:r>
              <w:rPr>
                <w:rFonts w:hint="eastAsia" w:ascii="仿宋" w:hAnsi="仿宋" w:eastAsia="仿宋" w:cs="仿宋"/>
                <w:bCs/>
                <w:kern w:val="2"/>
                <w:sz w:val="28"/>
                <w:szCs w:val="28"/>
                <w:lang w:eastAsia="zh-CN"/>
              </w:rPr>
              <w:t>付款方式</w:t>
            </w:r>
          </w:p>
        </w:tc>
        <w:tc>
          <w:tcPr>
            <w:tcW w:w="6450" w:type="dxa"/>
            <w:vAlign w:val="center"/>
          </w:tcPr>
          <w:p>
            <w:pPr>
              <w:pStyle w:val="39"/>
              <w:numPr>
                <w:ilvl w:val="255"/>
                <w:numId w:val="0"/>
              </w:numPr>
              <w:rPr>
                <w:rFonts w:hint="eastAsia" w:ascii="仿宋" w:hAnsi="仿宋" w:eastAsia="仿宋" w:cs="仿宋"/>
                <w:bCs/>
                <w:sz w:val="28"/>
                <w:szCs w:val="28"/>
                <w:lang w:eastAsia="zh-CN"/>
              </w:rPr>
            </w:pPr>
            <w:r>
              <w:rPr>
                <w:rFonts w:hint="eastAsia" w:ascii="仿宋" w:hAnsi="仿宋" w:eastAsia="仿宋" w:cs="仿宋"/>
                <w:bCs/>
                <w:kern w:val="2"/>
                <w:sz w:val="28"/>
                <w:szCs w:val="28"/>
                <w:lang w:val="en-US" w:eastAsia="zh-CN" w:bidi="ar-SA"/>
              </w:rPr>
              <w:t>设备到场并安装，经采购人验收合格后一次性付清合同价款</w:t>
            </w:r>
            <w:r>
              <w:rPr>
                <w:rFonts w:hint="eastAsia" w:ascii="仿宋" w:hAnsi="仿宋" w:eastAsia="仿宋" w:cs="仿宋"/>
                <w:bCs/>
                <w:sz w:val="28"/>
                <w:szCs w:val="28"/>
                <w:lang w:eastAsia="zh-CN"/>
              </w:rPr>
              <w:t>。</w:t>
            </w:r>
          </w:p>
        </w:tc>
      </w:tr>
    </w:tbl>
    <w:p>
      <w:pPr>
        <w:pStyle w:val="5"/>
        <w:spacing w:beforeLines="50" w:afterLines="50" w:line="520" w:lineRule="exact"/>
        <w:jc w:val="center"/>
        <w:rPr>
          <w:rFonts w:ascii="仿宋" w:hAnsi="仿宋" w:eastAsia="仿宋" w:cs="仿宋"/>
          <w:sz w:val="28"/>
          <w:szCs w:val="28"/>
        </w:rPr>
      </w:pPr>
      <w:bookmarkStart w:id="27" w:name="_Hlt509650027"/>
      <w:bookmarkEnd w:id="27"/>
      <w:bookmarkStart w:id="28" w:name="_Hlt519045778"/>
      <w:bookmarkEnd w:id="28"/>
      <w:r>
        <w:rPr>
          <w:rFonts w:hint="eastAsia" w:ascii="仿宋" w:hAnsi="仿宋" w:eastAsia="仿宋" w:cs="仿宋"/>
          <w:sz w:val="28"/>
          <w:szCs w:val="28"/>
        </w:rPr>
        <w:br w:type="page"/>
      </w:r>
      <w:bookmarkStart w:id="29" w:name="_Hlt509650351"/>
      <w:bookmarkEnd w:id="29"/>
      <w:bookmarkStart w:id="30" w:name="_Hlt516969057"/>
      <w:bookmarkEnd w:id="30"/>
      <w:bookmarkStart w:id="31" w:name="_Hlt204508754"/>
      <w:bookmarkEnd w:id="31"/>
      <w:bookmarkStart w:id="32" w:name="_Toc101102111"/>
      <w:bookmarkStart w:id="33" w:name="_Toc26285"/>
      <w:bookmarkStart w:id="34" w:name="_Toc23621"/>
      <w:bookmarkStart w:id="35" w:name="_Toc27853"/>
      <w:bookmarkStart w:id="36" w:name="_Toc5637"/>
      <w:bookmarkStart w:id="37" w:name="_Toc14584"/>
      <w:bookmarkStart w:id="38" w:name="_Toc17778"/>
      <w:bookmarkStart w:id="39" w:name="_Toc20449"/>
      <w:bookmarkStart w:id="40" w:name="_Toc24967"/>
      <w:bookmarkStart w:id="41" w:name="_Toc11048"/>
      <w:bookmarkStart w:id="42" w:name="_Toc25926"/>
      <w:r>
        <w:rPr>
          <w:rFonts w:hint="eastAsia" w:ascii="黑体" w:hAnsi="黑体" w:eastAsia="黑体" w:cs="黑体"/>
          <w:sz w:val="32"/>
          <w:szCs w:val="32"/>
        </w:rPr>
        <w:t>第三章 供应商须知</w:t>
      </w:r>
      <w:bookmarkEnd w:id="32"/>
      <w:bookmarkEnd w:id="33"/>
      <w:bookmarkEnd w:id="34"/>
      <w:bookmarkEnd w:id="35"/>
      <w:bookmarkEnd w:id="36"/>
      <w:bookmarkEnd w:id="37"/>
      <w:bookmarkEnd w:id="38"/>
      <w:bookmarkEnd w:id="39"/>
      <w:bookmarkEnd w:id="40"/>
      <w:bookmarkEnd w:id="41"/>
      <w:bookmarkEnd w:id="42"/>
    </w:p>
    <w:p>
      <w:pPr>
        <w:pStyle w:val="6"/>
        <w:spacing w:before="140" w:after="140" w:line="520" w:lineRule="exact"/>
        <w:ind w:firstLine="0"/>
        <w:rPr>
          <w:rFonts w:ascii="黑体" w:hAnsi="黑体" w:cs="黑体"/>
          <w:sz w:val="28"/>
          <w:szCs w:val="28"/>
        </w:rPr>
      </w:pPr>
      <w:bookmarkStart w:id="43" w:name="_Hlt509650955"/>
      <w:bookmarkEnd w:id="43"/>
      <w:bookmarkStart w:id="44" w:name="_Hlt509649722"/>
      <w:bookmarkEnd w:id="44"/>
      <w:bookmarkStart w:id="45" w:name="_Hlt526418143"/>
      <w:bookmarkEnd w:id="45"/>
      <w:bookmarkStart w:id="46" w:name="_Hlt509650126"/>
      <w:bookmarkEnd w:id="46"/>
      <w:bookmarkStart w:id="47" w:name="_Hlt509649998"/>
      <w:bookmarkEnd w:id="47"/>
      <w:bookmarkStart w:id="48" w:name="_Hlt509650686"/>
      <w:bookmarkEnd w:id="48"/>
      <w:bookmarkStart w:id="49" w:name="_Toc12043"/>
      <w:bookmarkStart w:id="50" w:name="_Toc457942808"/>
      <w:bookmarkStart w:id="51" w:name="_Toc24458"/>
      <w:bookmarkStart w:id="52" w:name="_Toc24425"/>
      <w:bookmarkStart w:id="53" w:name="_Toc19969"/>
      <w:bookmarkStart w:id="54" w:name="_Toc24878"/>
      <w:bookmarkStart w:id="55" w:name="_Toc101102112"/>
      <w:bookmarkStart w:id="56" w:name="_Toc15828"/>
      <w:bookmarkStart w:id="57" w:name="_Toc24627"/>
      <w:bookmarkStart w:id="58" w:name="_Toc1936"/>
      <w:bookmarkStart w:id="59" w:name="_Toc14786"/>
      <w:bookmarkStart w:id="60" w:name="_Toc13180"/>
      <w:bookmarkStart w:id="61" w:name="_Toc23724"/>
      <w:r>
        <w:rPr>
          <w:rFonts w:hint="eastAsia" w:ascii="黑体" w:hAnsi="黑体" w:cs="黑体"/>
          <w:sz w:val="28"/>
          <w:szCs w:val="28"/>
        </w:rPr>
        <w:t>一．总    则</w:t>
      </w:r>
      <w:bookmarkEnd w:id="49"/>
      <w:bookmarkEnd w:id="50"/>
      <w:bookmarkEnd w:id="51"/>
      <w:bookmarkEnd w:id="52"/>
      <w:bookmarkEnd w:id="53"/>
      <w:bookmarkEnd w:id="54"/>
      <w:bookmarkEnd w:id="55"/>
      <w:bookmarkEnd w:id="56"/>
      <w:bookmarkEnd w:id="57"/>
      <w:bookmarkEnd w:id="58"/>
      <w:bookmarkEnd w:id="59"/>
      <w:bookmarkEnd w:id="60"/>
      <w:bookmarkEnd w:id="61"/>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1.适用范围</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1.1本发包文件仅适用于本次采购项目。</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2.有关定义</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2.2采购人：系指本次采购项目的业主方。</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2.3采购代理机构：系指本次采购代理机构。</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2.4近X年内：系指从开标之日向前追溯X年（“X”为“一”及以后的整数）起算。除非本发包文件另有规定，否则均以合同签订之日为追溯结点。</w:t>
      </w:r>
    </w:p>
    <w:p>
      <w:pPr>
        <w:spacing w:line="360" w:lineRule="auto"/>
        <w:ind w:firstLine="548" w:firstLineChars="196"/>
        <w:rPr>
          <w:rFonts w:hint="eastAsia" w:ascii="仿宋" w:hAnsi="仿宋" w:eastAsia="仿宋" w:cs="仿宋"/>
          <w:sz w:val="28"/>
          <w:szCs w:val="28"/>
          <w:highlight w:val="yellow"/>
          <w:lang w:eastAsia="zh-CN"/>
        </w:rPr>
      </w:pPr>
      <w:r>
        <w:rPr>
          <w:rFonts w:hint="eastAsia" w:ascii="仿宋" w:hAnsi="仿宋" w:eastAsia="仿宋" w:cs="仿宋"/>
          <w:bCs/>
          <w:sz w:val="28"/>
          <w:szCs w:val="28"/>
        </w:rPr>
        <w:t>2.5 监督</w:t>
      </w:r>
      <w:r>
        <w:rPr>
          <w:rFonts w:hint="eastAsia" w:ascii="仿宋" w:hAnsi="仿宋" w:eastAsia="仿宋" w:cs="仿宋"/>
          <w:sz w:val="28"/>
          <w:szCs w:val="28"/>
        </w:rPr>
        <w:t>部门</w:t>
      </w:r>
      <w:r>
        <w:rPr>
          <w:rFonts w:hint="eastAsia" w:ascii="仿宋" w:hAnsi="仿宋" w:eastAsia="仿宋" w:cs="仿宋"/>
          <w:bCs/>
          <w:sz w:val="28"/>
          <w:szCs w:val="28"/>
        </w:rPr>
        <w:t>：</w:t>
      </w:r>
      <w:r>
        <w:rPr>
          <w:rFonts w:hint="eastAsia" w:ascii="仿宋" w:hAnsi="仿宋" w:eastAsia="仿宋" w:cs="仿宋"/>
          <w:bCs/>
          <w:sz w:val="28"/>
          <w:szCs w:val="28"/>
          <w:lang w:eastAsia="zh-CN"/>
        </w:rPr>
        <w:t>安徽六安技师学院</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3.投标费用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3.1无论投标结果如何，供应商应自行承担其编制与递交响应文件所涉及的一切费用。</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4.合格的供应商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4.1合格的供应商应符合发包文件载明的投标资格。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4.1.1除非发包文件认可，否则母、子公司之间的业绩、资质不得互用。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4.2单位负责人为同一人或者存在直接控股、管理关系的不同供应商，不得参加同一合同项下的采购活动。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4.3除单一来源采购项目外，为采购项目提供整体设计、规范编制或者项目管理、监理、检测等服务的供应商，不得再参加该采购项目的其他采购活动。</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5.勘察现场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5.1供应商应自行对服务现场和周围环境进行勘察，以获取编制响应文件和签署合同所需的资料。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5.2勘察现场所发生的费用由供应商自行承担。采购人向供应商提供的有关服务现场的资料和数据，是采购人现有的可供供应商利用的资料。采购人对供应商由此而做出的推论、理解和结论概不负责。供应商未到服务现场实地踏勘的，成交后签订合同时和履约过程中，不得以不完全了解现场情况为由，提出任何形式的增加合同价款或索赔的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5.3除非有特殊要求，发包文件不单独提供服务地点的自然环境、气候条件、公用设施等情况，供应商被视为熟悉上述与履行合同有关的一切情况。</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6.知识产权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响应报价中必须包括合法获取该知识产权的一切相关费用。如因此导致采购人损失的，供应商须承担全部赔偿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6.2供应商如欲在项目实施过程中采用自有知识成果，须在响应文件中声明，并提供相关知识产权证明文件。使用该知识成果后，供应商须提供开发接口和开发手册等技术文档。</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7.纪律与保密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7.1供应商的投标行为应遵守中国的有关法律、法规和规章。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7.2供应商不得相互串通响应报价，不得妨碍其他供应商的公平竞争，不得损害采购人或其他供应商的合法权益，供应商不得以向采购人、评审小组成员行贿或者其他不正当手段谋取成交。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有下列情形之一的，视为供应商串通投标，其响应资格无效：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7.2.1不同供应商的响应文件由同一单位或者个人编制；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7.2.2不同供应商委托同一单位或者个人办理投标事宜；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7.2.3不同供应商的响应文件载明的项目管理成员或者联系人员为同一人；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7.2.4不同供应商的响应文件异常一致或者响应报价呈规律性差异；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7.2.5不同供应商的响应文件相互混装；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7.2.6不同供应商的响应保证金从同一单位或者个人的账户转出。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7.3在确定成交供应商之前，供应商不得与采购人就投标价格、投标方案等实质性内容进行谈判，也不得私下接触评审小组成员。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7.4在确定成交供应商之前，供应商试图在响应文件审查、澄清、比较和评价时对评审小组、采购人和采购代理机构施加任何影响都可能导致其响应资格无效。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7.5由采购人向供应商提供的详细资料，被视为保密资料，仅被用于它所规定的用途。除非得到采购人的同意，不能向任何第三方透露。开标结束后，应采购人要求，供应商应归还所有从采购人处获得的保密资料。</w:t>
      </w:r>
    </w:p>
    <w:p>
      <w:pPr>
        <w:spacing w:line="360" w:lineRule="auto"/>
        <w:ind w:firstLine="548" w:firstLineChars="196"/>
        <w:rPr>
          <w:rFonts w:ascii="仿宋" w:hAnsi="仿宋" w:eastAsia="仿宋" w:cs="仿宋"/>
          <w:bCs/>
          <w:sz w:val="28"/>
          <w:szCs w:val="28"/>
        </w:rPr>
      </w:pPr>
      <w:r>
        <w:rPr>
          <w:rFonts w:hint="eastAsia" w:ascii="仿宋" w:hAnsi="仿宋" w:eastAsia="仿宋" w:cs="仿宋"/>
          <w:bCs/>
          <w:sz w:val="28"/>
          <w:szCs w:val="28"/>
        </w:rPr>
        <w:t>8.联合体投标（本条不采用）</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8.1除非本项目明确要求不接受联合体形式投标外，两个或两个以上供应商可以组成一个联合体投标，以一个供应商的身份投标。</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8.2以联合体形式参加投标的，联合体各方均应当符合《中华人民共和国采购法》第二十二条第一款规定的条件，根据采购项目的特殊要求规定供应商特定条件的，联合体各方中至少应当有一方符合。</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8.3联合体各方之间应当签订联合体协议，明确约定联合体各方应当承担的工作和相应的责任，并将联合体协议连同响应文件一并提交。联合体中有同类资质的供应商按照联合体分工承担相同工作的，应当按照资质等级较低的供应商确定资质等级。以联合体形式参加采购活动的，联合体各方不得再单独参加或者与其他供应商另外组成联合体参加同一合同项下的采购活动。</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8.4联合体投标的，可以由联合体中的一方或者共同提交响应保证金，以一方名义提交保证金的，对联合体各方均具有约束力。</w:t>
      </w:r>
    </w:p>
    <w:p>
      <w:pPr>
        <w:pStyle w:val="6"/>
        <w:spacing w:before="140" w:after="140" w:line="520" w:lineRule="exact"/>
        <w:ind w:firstLine="0"/>
        <w:rPr>
          <w:rFonts w:ascii="黑体" w:hAnsi="黑体" w:cs="黑体"/>
          <w:sz w:val="28"/>
          <w:szCs w:val="28"/>
        </w:rPr>
      </w:pPr>
      <w:bookmarkStart w:id="62" w:name="_Hlt509649795"/>
      <w:bookmarkEnd w:id="62"/>
      <w:bookmarkStart w:id="63" w:name="_Hlt509650690"/>
      <w:bookmarkEnd w:id="63"/>
      <w:bookmarkStart w:id="64" w:name="_Hlt509649645"/>
      <w:bookmarkEnd w:id="64"/>
      <w:bookmarkStart w:id="65" w:name="_Hlt509649330"/>
      <w:bookmarkEnd w:id="65"/>
      <w:bookmarkStart w:id="66" w:name="_Hlt509650929"/>
      <w:bookmarkEnd w:id="66"/>
      <w:bookmarkStart w:id="67" w:name="_Hlt509650333"/>
      <w:bookmarkEnd w:id="67"/>
      <w:bookmarkStart w:id="68" w:name="_Hlt509650961"/>
      <w:bookmarkEnd w:id="68"/>
      <w:bookmarkStart w:id="69" w:name="_Hlt509650116"/>
      <w:bookmarkEnd w:id="69"/>
      <w:bookmarkStart w:id="70" w:name="_Hlt509650932"/>
      <w:bookmarkEnd w:id="70"/>
      <w:bookmarkStart w:id="71" w:name="_Hlt509649678"/>
      <w:bookmarkEnd w:id="71"/>
      <w:bookmarkStart w:id="72" w:name="_Hlt509650103"/>
      <w:bookmarkEnd w:id="72"/>
      <w:bookmarkStart w:id="73" w:name="_Hlt509650936"/>
      <w:bookmarkEnd w:id="73"/>
      <w:bookmarkStart w:id="74" w:name="_Hlt526418153"/>
      <w:bookmarkEnd w:id="74"/>
      <w:bookmarkStart w:id="75" w:name="_Hlt509649669"/>
      <w:bookmarkEnd w:id="75"/>
      <w:bookmarkStart w:id="76" w:name="_Toc101102113"/>
      <w:bookmarkStart w:id="77" w:name="_Toc5398"/>
      <w:bookmarkStart w:id="78" w:name="_Toc21417"/>
      <w:bookmarkStart w:id="79" w:name="_Toc457942809"/>
      <w:bookmarkStart w:id="80" w:name="_Toc12732"/>
      <w:bookmarkStart w:id="81" w:name="_Toc1695"/>
      <w:bookmarkStart w:id="82" w:name="_Toc32522"/>
      <w:bookmarkStart w:id="83" w:name="_Toc30944"/>
      <w:bookmarkStart w:id="84" w:name="_Toc24683"/>
      <w:bookmarkStart w:id="85" w:name="_Toc19967"/>
      <w:bookmarkStart w:id="86" w:name="_Toc24393"/>
      <w:bookmarkStart w:id="87" w:name="_Toc1815"/>
      <w:bookmarkStart w:id="88" w:name="_Toc11961"/>
      <w:r>
        <w:rPr>
          <w:rFonts w:hint="eastAsia" w:ascii="黑体" w:hAnsi="黑体" w:cs="黑体"/>
          <w:sz w:val="28"/>
          <w:szCs w:val="28"/>
        </w:rPr>
        <w:t>二．</w:t>
      </w:r>
      <w:bookmarkEnd w:id="76"/>
      <w:bookmarkEnd w:id="77"/>
      <w:bookmarkEnd w:id="78"/>
      <w:bookmarkEnd w:id="79"/>
      <w:bookmarkEnd w:id="80"/>
      <w:bookmarkEnd w:id="81"/>
      <w:bookmarkEnd w:id="82"/>
      <w:bookmarkEnd w:id="83"/>
      <w:bookmarkEnd w:id="84"/>
      <w:bookmarkEnd w:id="85"/>
      <w:bookmarkEnd w:id="86"/>
      <w:bookmarkEnd w:id="87"/>
      <w:bookmarkStart w:id="89" w:name="_Hlt509649791"/>
      <w:bookmarkEnd w:id="89"/>
      <w:bookmarkStart w:id="90" w:name="_Hlt509650361"/>
      <w:bookmarkEnd w:id="90"/>
      <w:bookmarkStart w:id="91" w:name="_Hlt509649930"/>
      <w:bookmarkEnd w:id="91"/>
      <w:r>
        <w:rPr>
          <w:rFonts w:hint="eastAsia" w:ascii="黑体" w:hAnsi="黑体" w:cs="黑体"/>
          <w:sz w:val="28"/>
          <w:szCs w:val="28"/>
        </w:rPr>
        <w:t>发包文件</w:t>
      </w:r>
      <w:bookmarkEnd w:id="88"/>
    </w:p>
    <w:p>
      <w:pPr>
        <w:spacing w:line="360" w:lineRule="auto"/>
        <w:ind w:firstLine="551" w:firstLineChars="196"/>
        <w:rPr>
          <w:rFonts w:ascii="仿宋" w:hAnsi="仿宋" w:eastAsia="仿宋" w:cs="仿宋"/>
          <w:b/>
          <w:bCs/>
          <w:sz w:val="28"/>
          <w:szCs w:val="28"/>
        </w:rPr>
      </w:pPr>
      <w:bookmarkStart w:id="92" w:name="_Hlt509650734"/>
      <w:bookmarkEnd w:id="92"/>
      <w:r>
        <w:rPr>
          <w:rFonts w:hint="eastAsia" w:ascii="仿宋" w:hAnsi="仿宋" w:eastAsia="仿宋" w:cs="仿宋"/>
          <w:b/>
          <w:bCs/>
          <w:sz w:val="28"/>
          <w:szCs w:val="28"/>
        </w:rPr>
        <w:t>9.发包文件构成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9.1发包文件包括以下部分：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9.1.1第一章：发包公告；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9.1.2第二章：</w:t>
      </w:r>
      <w:bookmarkStart w:id="93" w:name="_Hlt509650925"/>
      <w:bookmarkEnd w:id="93"/>
      <w:r>
        <w:rPr>
          <w:rFonts w:hint="eastAsia" w:ascii="仿宋" w:hAnsi="仿宋" w:eastAsia="仿宋" w:cs="仿宋"/>
          <w:sz w:val="28"/>
          <w:szCs w:val="28"/>
        </w:rPr>
        <w:t>供应商须知前附表；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9.1.3第三章：供应商须知；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9.1.4第四章：评分办法；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9.1.5第五章：采购合同；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9.1.6第六章：采购需求；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9.1.7第七章：响应文件格式；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9.1.8采购代理机构发布的答疑、补遗、补充通知等。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9.2供应商应认真阅读发包文件中所有的事项、格式、条件、条款和规范等要求。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9.3供应商应当按照发包文件的要求编制响应文件。响应文件应对发包文件提出的要求和条件作出实质性响应。</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10.答疑及发包文件的澄清与修改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10.1供应商如果对发包文件内容有相关疑问，可以根据供应商须知前附表相关规定向采购人、采购代理机构提出（疑问文件以文档形式提供，如WORD文档等）。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10.2疑问的提出与答疑获取具体步骤：详见投标须知前附表。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10.3采购人（采购代理机构）对发包文件进行的答疑、澄清、变更或补充，将在网站上及时发布，该公告内容为发包文件的组成部分，对供应商具有同样约束力。当发包文件、发包文件的答疑、澄清、变更或补充等在同一内容的表述上不一致时，以最后发出的书面文件为准。供应商应主动上网查询。采购人（采购代理机构）不承担供应商未及时关注相关信息引发的相关责任。</w:t>
      </w:r>
    </w:p>
    <w:p>
      <w:pPr>
        <w:pStyle w:val="6"/>
        <w:spacing w:before="140" w:after="140" w:line="520" w:lineRule="exact"/>
        <w:ind w:firstLine="0"/>
        <w:rPr>
          <w:rFonts w:ascii="黑体" w:hAnsi="黑体" w:cs="黑体"/>
          <w:sz w:val="28"/>
          <w:szCs w:val="28"/>
        </w:rPr>
      </w:pPr>
      <w:bookmarkStart w:id="94" w:name="_Hlt509649724"/>
      <w:bookmarkEnd w:id="94"/>
      <w:bookmarkStart w:id="95" w:name="_Hlt510342861"/>
      <w:bookmarkEnd w:id="95"/>
      <w:bookmarkStart w:id="96" w:name="_Hlt509650697"/>
      <w:bookmarkEnd w:id="96"/>
      <w:bookmarkStart w:id="97" w:name="_Toc16567"/>
      <w:bookmarkStart w:id="98" w:name="_Toc6528"/>
      <w:bookmarkStart w:id="99" w:name="_Toc4443"/>
      <w:bookmarkStart w:id="100" w:name="_Toc8681"/>
      <w:bookmarkStart w:id="101" w:name="_Toc26190"/>
      <w:bookmarkStart w:id="102" w:name="_Toc101102114"/>
      <w:bookmarkStart w:id="103" w:name="_Toc457942810"/>
      <w:bookmarkStart w:id="104" w:name="_Toc10301"/>
      <w:bookmarkStart w:id="105" w:name="_Toc13373"/>
      <w:bookmarkStart w:id="106" w:name="_Toc6659"/>
      <w:bookmarkStart w:id="107" w:name="_Toc31665"/>
      <w:bookmarkStart w:id="108" w:name="_Toc3392"/>
      <w:bookmarkStart w:id="109" w:name="_Toc28382"/>
      <w:r>
        <w:rPr>
          <w:rFonts w:hint="eastAsia" w:ascii="黑体" w:hAnsi="黑体" w:cs="黑体"/>
          <w:sz w:val="28"/>
          <w:szCs w:val="28"/>
        </w:rPr>
        <w:t>三．响应文件的编制</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11.响应文件构成与要求</w:t>
      </w:r>
    </w:p>
    <w:p>
      <w:pPr>
        <w:spacing w:line="360" w:lineRule="auto"/>
        <w:ind w:firstLine="560" w:firstLineChars="200"/>
        <w:rPr>
          <w:rFonts w:ascii="仿宋" w:hAnsi="仿宋" w:eastAsia="仿宋" w:cs="仿宋"/>
          <w:sz w:val="28"/>
          <w:szCs w:val="28"/>
        </w:rPr>
      </w:pPr>
      <w:bookmarkStart w:id="110" w:name="_Hlt509650345"/>
      <w:bookmarkEnd w:id="110"/>
      <w:r>
        <w:rPr>
          <w:rFonts w:hint="eastAsia" w:ascii="仿宋" w:hAnsi="仿宋" w:eastAsia="仿宋" w:cs="仿宋"/>
          <w:sz w:val="28"/>
          <w:szCs w:val="28"/>
        </w:rPr>
        <w:t>11.1响应文件是对发包文件的实质性响应及承诺文件。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11.2除非注明“供应商可自行制作格式”，响应文件应使用发包文件提供的格式。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11.3除专用术语外，响应文件以及供应商与采购人就有关投标的往来函电均应使用中文。供应商提交的支持性文件和印制的文件可以用另一种语言，但相应内容应翻译成中文，对不同文字文本响应文件的解释发生异议的，以中文文本为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11.4除非发包文件另有规定，响应文件应使用中华人民共和国法定计量单位。</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11.5除非发包文件另有规定，响应文件应使用人民币填报所有报价。允许以多种货币报价的，或涉及合同金额等计算的，均按照中国人民银行在开标日公布的汇率中间价换算成人民币。公司注册资本为外币，须折算成人民币的，按照公司成立日期当日(以营业执照注明的成立日期为准）中国人民银行公布的汇率的中间价计算（供应商应提供成立日期当日中国人民银行公布的汇率的中间价作为参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13.6供应商资质证书（或资格证明）处于年检、换证、升级、变更等期间，除非有法律法规或发证机构书面材料明确表明供应商资质（或资格)有效，否则一律不予认可。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11.7电报、电话、传真形式的投标概不接受。</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11.8除非发包文件另有规定，采购人一律不予退还供应商的响应文件。</w:t>
      </w:r>
    </w:p>
    <w:p>
      <w:pPr>
        <w:spacing w:line="360" w:lineRule="auto"/>
        <w:ind w:firstLine="562" w:firstLineChars="200"/>
        <w:rPr>
          <w:rFonts w:ascii="仿宋" w:hAnsi="仿宋" w:eastAsia="仿宋" w:cs="仿宋"/>
          <w:sz w:val="28"/>
          <w:szCs w:val="28"/>
          <w:highlight w:val="yellow"/>
        </w:rPr>
      </w:pPr>
      <w:r>
        <w:rPr>
          <w:rFonts w:hint="eastAsia" w:ascii="仿宋" w:hAnsi="仿宋" w:eastAsia="仿宋" w:cs="仿宋"/>
          <w:b/>
          <w:sz w:val="28"/>
          <w:szCs w:val="28"/>
        </w:rPr>
        <w:t>12.报价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12.1供应商应以“包”为报价的基本单位。若整个需求分为若干包，则供应商可选择其中的部分或所有包报价。包内所有项目均应报价（免费赠送的除外）。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12.2供应商的报价应包含所投</w:t>
      </w:r>
      <w:r>
        <w:rPr>
          <w:rFonts w:hint="eastAsia" w:ascii="仿宋" w:hAnsi="仿宋" w:eastAsia="仿宋" w:cs="仿宋"/>
          <w:sz w:val="28"/>
          <w:szCs w:val="28"/>
          <w:lang w:eastAsia="zh-CN"/>
        </w:rPr>
        <w:t>货物</w:t>
      </w:r>
      <w:r>
        <w:rPr>
          <w:rFonts w:hint="eastAsia" w:ascii="仿宋" w:hAnsi="仿宋" w:eastAsia="仿宋" w:cs="仿宋"/>
          <w:sz w:val="28"/>
          <w:szCs w:val="28"/>
        </w:rPr>
        <w:t>、保险、税费、验收和交付后约定期限内免费维保服务等工作所发生的一切应有费用。响应报价为签订合同的依据。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12.3供应商应按发包文件要求在响应文件中注明拟提供服务的单价明细和总价。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12.4采购人不建议供应商采用总价优惠或以总价百分比优惠的方式进行响应报价，其优惠可直接计算并体现在各项响应报价的单价中。</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12.5除非发包文件另有规定，报价原则上精确到小数点后两位，如不足两位，按照两位计算，如超出两位，按照四舍五入方式计算至小数点后两位（报价单位按发包文件约定）。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12.6除国家政策性文件规定以外，供应商所报价格在合同实施期间不因市场变化因素而变动。</w:t>
      </w:r>
    </w:p>
    <w:p>
      <w:pPr>
        <w:spacing w:line="360" w:lineRule="auto"/>
        <w:ind w:firstLine="551" w:firstLineChars="196"/>
        <w:rPr>
          <w:rFonts w:ascii="仿宋" w:hAnsi="仿宋" w:eastAsia="仿宋" w:cs="仿宋"/>
          <w:b/>
          <w:bCs/>
          <w:sz w:val="28"/>
          <w:szCs w:val="28"/>
        </w:rPr>
      </w:pPr>
      <w:r>
        <w:rPr>
          <w:rFonts w:hint="eastAsia" w:ascii="仿宋" w:hAnsi="仿宋" w:eastAsia="仿宋" w:cs="仿宋"/>
          <w:b/>
          <w:bCs/>
          <w:sz w:val="28"/>
          <w:szCs w:val="28"/>
        </w:rPr>
        <w:t>13.响应</w:t>
      </w:r>
      <w:r>
        <w:rPr>
          <w:rFonts w:hint="eastAsia" w:ascii="仿宋" w:hAnsi="仿宋" w:eastAsia="仿宋" w:cs="仿宋"/>
          <w:b/>
          <w:sz w:val="28"/>
          <w:szCs w:val="28"/>
        </w:rPr>
        <w:t>内容</w:t>
      </w:r>
      <w:r>
        <w:rPr>
          <w:rFonts w:hint="eastAsia" w:ascii="仿宋" w:hAnsi="仿宋" w:eastAsia="仿宋" w:cs="仿宋"/>
          <w:b/>
          <w:bCs/>
          <w:sz w:val="28"/>
          <w:szCs w:val="28"/>
        </w:rPr>
        <w:t>填写及说明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13.1响应文件须对发包文件载明的投标资格、技术、资信、服务、报价等全部要求和条件做出实质性和完整的响应，如果响应文件填报的内容资料不详，或没有提供发包文件所要求的全部资料、证明及数据，将导致响应资格无效。</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13.2供应商应在响应文件中提交发包文件要求的有关证明文件，作为其响应文件的一部分。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13.3供应商应在响应文件中提交发包文件要求的所有服务的合格性以及符合发包文件规定的证明文件（可以是手册、图纸和资料等），并作为其响应文件的一部分。包括：服务主要内容的详细描述等。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13.4响应文件应字迹清楚、编排有序、内容齐全、不得涂改或增删。如有错漏处必须修改，应在修改处加盖供应商公章。</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14.响应保证金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14.1供应商应按照须知前附表规定的金额缴纳响应保证金，响应保证金应当在投标截止时间前足额缴纳。</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15.响应有效期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15.1为保证采购人有足够的时间完成评审和与成交供应商签订合同，规定响应有效期。响应有效期见供应商须知前附表。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15.2在响应有效期内，供应商的投标保持有效，供应商不得要求撤销或修改其响应文件。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15.3响应有效期从投标截止日起计算。</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15.4在原定响应有效期满之前，如果出现特殊情况，采购人可以书面形式提出延长响应有效期的要求。供应商以书面形式予以答复，供应商可以拒绝这种要求而不被没收响应保证金。同意延长响应有效期的供应商不允许修改其响应文件的实质性内容，且需要相应地延长响应保证金的有效期。</w:t>
      </w:r>
    </w:p>
    <w:p>
      <w:pPr>
        <w:spacing w:line="360" w:lineRule="auto"/>
        <w:ind w:firstLine="551" w:firstLineChars="196"/>
        <w:rPr>
          <w:rFonts w:ascii="仿宋" w:hAnsi="仿宋" w:eastAsia="仿宋" w:cs="仿宋"/>
          <w:b/>
          <w:sz w:val="28"/>
          <w:szCs w:val="28"/>
        </w:rPr>
      </w:pPr>
      <w:bookmarkStart w:id="111" w:name="_Hlt509650572"/>
      <w:bookmarkEnd w:id="111"/>
      <w:r>
        <w:rPr>
          <w:rFonts w:hint="eastAsia" w:ascii="仿宋" w:hAnsi="仿宋" w:eastAsia="仿宋" w:cs="仿宋"/>
          <w:b/>
          <w:sz w:val="28"/>
          <w:szCs w:val="28"/>
        </w:rPr>
        <w:t>16.响应文件份数</w:t>
      </w:r>
    </w:p>
    <w:p>
      <w:pPr>
        <w:pStyle w:val="81"/>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16.1 供应商应按照供应商须知前附表的要求准备响应文件。</w:t>
      </w:r>
    </w:p>
    <w:p>
      <w:pPr>
        <w:pStyle w:val="6"/>
        <w:spacing w:before="140" w:after="140" w:line="520" w:lineRule="exact"/>
        <w:ind w:firstLine="0"/>
        <w:rPr>
          <w:rFonts w:ascii="黑体" w:hAnsi="黑体" w:cs="黑体"/>
          <w:sz w:val="28"/>
          <w:szCs w:val="28"/>
        </w:rPr>
      </w:pPr>
      <w:bookmarkStart w:id="112" w:name="_Toc15185"/>
      <w:bookmarkStart w:id="113" w:name="_Toc21236"/>
      <w:bookmarkStart w:id="114" w:name="_Toc10485"/>
      <w:bookmarkStart w:id="115" w:name="_Toc30257"/>
      <w:bookmarkStart w:id="116" w:name="_Toc9330"/>
      <w:bookmarkStart w:id="117" w:name="_Toc2837"/>
      <w:bookmarkStart w:id="118" w:name="_Toc29035"/>
      <w:bookmarkStart w:id="119" w:name="_Toc1859"/>
      <w:bookmarkStart w:id="120" w:name="_Toc457942811"/>
      <w:bookmarkStart w:id="121" w:name="_Toc10599"/>
      <w:bookmarkStart w:id="122" w:name="_Toc18375"/>
      <w:bookmarkStart w:id="123" w:name="_Toc4853"/>
      <w:bookmarkStart w:id="124" w:name="_Toc101102115"/>
      <w:r>
        <w:rPr>
          <w:rFonts w:hint="eastAsia" w:ascii="黑体" w:hAnsi="黑体" w:cs="黑体"/>
          <w:sz w:val="28"/>
          <w:szCs w:val="28"/>
        </w:rPr>
        <w:t>四．响应文件的递交</w:t>
      </w:r>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5" w:name="_Hlt509649414"/>
      <w:bookmarkEnd w:id="125"/>
    </w:p>
    <w:p>
      <w:pPr>
        <w:spacing w:line="360" w:lineRule="auto"/>
        <w:ind w:firstLine="562" w:firstLineChars="200"/>
        <w:rPr>
          <w:rFonts w:ascii="仿宋" w:hAnsi="仿宋" w:eastAsia="仿宋" w:cs="仿宋"/>
          <w:b/>
          <w:sz w:val="28"/>
          <w:szCs w:val="28"/>
        </w:rPr>
      </w:pPr>
      <w:bookmarkStart w:id="126" w:name="_Hlt509649294"/>
      <w:bookmarkEnd w:id="126"/>
      <w:r>
        <w:rPr>
          <w:rFonts w:hint="eastAsia" w:ascii="仿宋" w:hAnsi="仿宋" w:eastAsia="仿宋" w:cs="仿宋"/>
          <w:b/>
          <w:sz w:val="28"/>
          <w:szCs w:val="28"/>
        </w:rPr>
        <w:t>17、响应文件的密封和标记</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17.1响应文件应密封并加盖供应商单位公章。</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17.2响应文件应装订成册并封装，并在密封袋上标注项目名称、项目编号、供应商名称、密封口处须有法定代表人或授权委托人签字（或加盖印章）。</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18、响应文件的提交</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19.1投标人应按投标须知前附表规定的时间、地点，于发包截止时间前现场签到并递交响应文件。</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18.2在投标须知前附表规定的投标截止时间以后递交的响应文件将被拒绝并退还给投标人。</w:t>
      </w:r>
    </w:p>
    <w:p>
      <w:pPr>
        <w:spacing w:line="360" w:lineRule="auto"/>
        <w:ind w:firstLine="562" w:firstLineChars="200"/>
        <w:rPr>
          <w:rFonts w:ascii="仿宋" w:hAnsi="仿宋" w:eastAsia="仿宋" w:cs="仿宋"/>
          <w:b/>
          <w:sz w:val="28"/>
          <w:szCs w:val="28"/>
        </w:rPr>
      </w:pPr>
      <w:bookmarkStart w:id="127" w:name="_Toc101101616"/>
      <w:r>
        <w:rPr>
          <w:rFonts w:hint="eastAsia" w:ascii="仿宋" w:hAnsi="仿宋" w:eastAsia="仿宋" w:cs="仿宋"/>
          <w:b/>
          <w:sz w:val="28"/>
          <w:szCs w:val="28"/>
        </w:rPr>
        <w:t>19、</w:t>
      </w:r>
      <w:bookmarkStart w:id="128" w:name="_Toc21541281"/>
      <w:bookmarkStart w:id="129" w:name="_Toc21541223"/>
      <w:bookmarkStart w:id="130" w:name="_Toc21266482"/>
      <w:bookmarkStart w:id="131" w:name="_Toc21266902"/>
      <w:bookmarkStart w:id="132" w:name="_Toc21266804"/>
      <w:bookmarkStart w:id="133" w:name="_Toc16443"/>
      <w:r>
        <w:rPr>
          <w:rFonts w:hint="eastAsia" w:ascii="仿宋" w:hAnsi="仿宋" w:eastAsia="仿宋" w:cs="仿宋"/>
          <w:b/>
          <w:sz w:val="28"/>
          <w:szCs w:val="28"/>
        </w:rPr>
        <w:t>响应文件的修改和撤回</w:t>
      </w:r>
      <w:bookmarkEnd w:id="127"/>
      <w:bookmarkEnd w:id="128"/>
      <w:bookmarkEnd w:id="129"/>
      <w:bookmarkEnd w:id="130"/>
      <w:bookmarkEnd w:id="131"/>
      <w:bookmarkEnd w:id="132"/>
      <w:bookmarkEnd w:id="133"/>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19.1 供应商提交响应文件后，在规定的响应文件递交截止时间之前，可以以书面形式补充、修改或撤回已提交的响应文件，并以书面形式通知采购人。补充、修改的内容为响应文件的组成部分。</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19.2 供应商对响应文件的补充、修改或撤回通知，应按本须知17.1条有关规定密封、标记和提交，并在响应文件密封袋上清楚标明“补充、修改”或“撤回”字样。否则，补充、修改或撤回通知无效。</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19.3 在响应文件递交截止时间之后，供应商不得补充或修改响应文件。</w:t>
      </w:r>
    </w:p>
    <w:p>
      <w:pPr>
        <w:pStyle w:val="6"/>
        <w:spacing w:before="140" w:after="140" w:line="520" w:lineRule="exact"/>
        <w:ind w:firstLine="0"/>
        <w:rPr>
          <w:rFonts w:ascii="黑体" w:hAnsi="黑体" w:cs="黑体"/>
          <w:sz w:val="28"/>
          <w:szCs w:val="28"/>
        </w:rPr>
      </w:pPr>
      <w:bookmarkStart w:id="134" w:name="_Toc24685"/>
      <w:bookmarkStart w:id="135" w:name="_Toc457942812"/>
      <w:bookmarkStart w:id="136" w:name="_Toc23974"/>
      <w:bookmarkStart w:id="137" w:name="_Toc12046"/>
      <w:bookmarkStart w:id="138" w:name="_Toc101102116"/>
      <w:bookmarkStart w:id="139" w:name="_Toc28910"/>
      <w:bookmarkStart w:id="140" w:name="_Toc31045"/>
      <w:bookmarkStart w:id="141" w:name="_Toc16502"/>
      <w:bookmarkStart w:id="142" w:name="_Toc24447"/>
      <w:bookmarkStart w:id="143" w:name="_Toc1639"/>
      <w:bookmarkStart w:id="144" w:name="_Toc23905"/>
      <w:bookmarkStart w:id="145" w:name="_Toc19168"/>
      <w:bookmarkStart w:id="146" w:name="_Toc15646"/>
      <w:r>
        <w:rPr>
          <w:rFonts w:hint="eastAsia" w:ascii="黑体" w:hAnsi="黑体" w:cs="黑体"/>
          <w:sz w:val="28"/>
          <w:szCs w:val="28"/>
        </w:rPr>
        <w:t>五．发包与</w:t>
      </w:r>
      <w:bookmarkEnd w:id="134"/>
      <w:bookmarkEnd w:id="135"/>
      <w:bookmarkEnd w:id="136"/>
      <w:bookmarkEnd w:id="137"/>
      <w:bookmarkEnd w:id="138"/>
      <w:bookmarkEnd w:id="139"/>
      <w:r>
        <w:rPr>
          <w:rFonts w:hint="eastAsia" w:ascii="黑体" w:hAnsi="黑体" w:cs="黑体"/>
          <w:sz w:val="28"/>
          <w:szCs w:val="28"/>
        </w:rPr>
        <w:t>评审</w:t>
      </w:r>
      <w:bookmarkEnd w:id="140"/>
      <w:bookmarkEnd w:id="141"/>
      <w:bookmarkEnd w:id="142"/>
      <w:bookmarkEnd w:id="143"/>
      <w:bookmarkEnd w:id="144"/>
      <w:bookmarkEnd w:id="145"/>
      <w:bookmarkEnd w:id="146"/>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20.发包与响应文件的评审</w:t>
      </w:r>
    </w:p>
    <w:p>
      <w:pPr>
        <w:pStyle w:val="81"/>
        <w:snapToGrid w:val="0"/>
        <w:spacing w:line="360" w:lineRule="auto"/>
        <w:ind w:firstLine="560" w:firstLineChars="200"/>
        <w:rPr>
          <w:rFonts w:hint="eastAsia" w:ascii="仿宋" w:hAnsi="仿宋" w:eastAsia="仿宋" w:cs="仿宋"/>
          <w:b/>
          <w:bCs/>
          <w:sz w:val="28"/>
          <w:szCs w:val="28"/>
          <w:u w:val="double"/>
          <w:lang w:eastAsia="zh-CN"/>
        </w:rPr>
      </w:pPr>
      <w:r>
        <w:rPr>
          <w:rFonts w:hint="eastAsia" w:ascii="仿宋" w:hAnsi="仿宋" w:eastAsia="仿宋" w:cs="仿宋"/>
          <w:sz w:val="28"/>
          <w:szCs w:val="28"/>
        </w:rPr>
        <w:t>20.1采购人将在本项目发包公告规定的时间和地点组织发包评审；供应商的法定代表人或其授权委托代理人必须参加发包会议。各供应商参加开标会议的人数不得超过1人，供应商在发包会现场必须提供下列资料供查验：</w:t>
      </w:r>
      <w:r>
        <w:rPr>
          <w:rFonts w:hint="eastAsia" w:ascii="仿宋" w:hAnsi="仿宋" w:eastAsia="仿宋" w:cs="仿宋"/>
          <w:b/>
          <w:bCs/>
          <w:sz w:val="28"/>
          <w:szCs w:val="28"/>
          <w:u w:val="double"/>
        </w:rPr>
        <w:t>企业营业执照副本扫描件、被委托人身份证、授权委托书原件（法定代表人到场不需提供）</w:t>
      </w:r>
      <w:r>
        <w:rPr>
          <w:rFonts w:hint="eastAsia" w:ascii="仿宋" w:hAnsi="仿宋" w:eastAsia="仿宋" w:cs="仿宋"/>
          <w:b/>
          <w:bCs/>
          <w:sz w:val="28"/>
          <w:szCs w:val="28"/>
          <w:u w:val="none"/>
          <w:lang w:eastAsia="zh-CN"/>
        </w:rPr>
        <w:t>。</w:t>
      </w:r>
    </w:p>
    <w:p>
      <w:pPr>
        <w:pStyle w:val="81"/>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凡不能出示上述有效证件或到场人员与证件载明的人员不一致或未出席开标会议者，响应文件不予接受，投标资格无效；采购代理机构现场记录并存档备查。</w:t>
      </w:r>
    </w:p>
    <w:p>
      <w:pPr>
        <w:pStyle w:val="81"/>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20.</w:t>
      </w:r>
      <w:r>
        <w:rPr>
          <w:rFonts w:hint="eastAsia" w:ascii="仿宋" w:hAnsi="仿宋" w:eastAsia="仿宋" w:cs="仿宋"/>
          <w:bCs/>
          <w:sz w:val="28"/>
          <w:szCs w:val="28"/>
        </w:rPr>
        <w:t>2评审前对投标资格进行审查，评审小组仅对资格审查通过的响应文件进行评审。</w:t>
      </w:r>
    </w:p>
    <w:p>
      <w:pPr>
        <w:pStyle w:val="81"/>
        <w:snapToGrid w:val="0"/>
        <w:spacing w:line="360" w:lineRule="auto"/>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20.3开标时，采购人（采购代理机构）将公布供应商名称。</w:t>
      </w:r>
    </w:p>
    <w:p>
      <w:pPr>
        <w:pStyle w:val="81"/>
        <w:snapToGrid w:val="0"/>
        <w:spacing w:line="360" w:lineRule="auto"/>
        <w:ind w:firstLine="560" w:firstLineChars="200"/>
        <w:rPr>
          <w:rFonts w:ascii="仿宋" w:hAnsi="仿宋" w:eastAsia="仿宋" w:cs="仿宋"/>
          <w:bCs/>
          <w:sz w:val="28"/>
          <w:szCs w:val="28"/>
        </w:rPr>
      </w:pPr>
      <w:r>
        <w:rPr>
          <w:rFonts w:hint="eastAsia" w:ascii="仿宋" w:hAnsi="仿宋" w:eastAsia="仿宋" w:cs="仿宋"/>
          <w:kern w:val="0"/>
          <w:sz w:val="28"/>
          <w:szCs w:val="28"/>
        </w:rPr>
        <w:t>20.</w:t>
      </w:r>
      <w:r>
        <w:rPr>
          <w:rFonts w:ascii="仿宋" w:hAnsi="仿宋" w:eastAsia="仿宋" w:cs="仿宋"/>
          <w:kern w:val="0"/>
          <w:sz w:val="28"/>
          <w:szCs w:val="28"/>
        </w:rPr>
        <w:t>4</w:t>
      </w:r>
      <w:r>
        <w:rPr>
          <w:rFonts w:hint="eastAsia" w:ascii="仿宋" w:hAnsi="仿宋" w:eastAsia="仿宋" w:cs="仿宋"/>
          <w:kern w:val="0"/>
          <w:sz w:val="28"/>
          <w:szCs w:val="28"/>
        </w:rPr>
        <w:t>评审小组决定响应文件的响应性及符合性只根据响应文件本身的内容，而不寻求其他外部证据。</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21.响应文件的澄清、说明或补正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21.1为有助于投标的审查、评价和比较，评审小组可以书面方式要求供应商对响应文件中含义不明确、对同类问题表述不一致或者有明显文字和计算错误的内容作必要的澄清、说明或补正。澄清、说明或补正应以书面方式进行并不得超出响应文件的范围或改变响应文件的实质性内容。</w:t>
      </w:r>
    </w:p>
    <w:p>
      <w:pPr>
        <w:spacing w:line="360" w:lineRule="auto"/>
        <w:ind w:firstLine="551" w:firstLineChars="196"/>
        <w:rPr>
          <w:rFonts w:ascii="仿宋" w:hAnsi="仿宋" w:eastAsia="仿宋" w:cs="仿宋"/>
          <w:b/>
          <w:bCs/>
          <w:sz w:val="28"/>
          <w:szCs w:val="28"/>
        </w:rPr>
      </w:pPr>
      <w:r>
        <w:rPr>
          <w:rFonts w:hint="eastAsia" w:ascii="仿宋" w:hAnsi="仿宋" w:eastAsia="仿宋" w:cs="仿宋"/>
          <w:b/>
          <w:bCs/>
          <w:sz w:val="28"/>
          <w:szCs w:val="28"/>
        </w:rPr>
        <w:t>22</w:t>
      </w:r>
      <w:r>
        <w:rPr>
          <w:rFonts w:hint="eastAsia" w:ascii="仿宋" w:hAnsi="仿宋" w:eastAsia="仿宋" w:cs="仿宋"/>
          <w:b/>
          <w:sz w:val="28"/>
          <w:szCs w:val="28"/>
        </w:rPr>
        <w:t>.</w:t>
      </w:r>
      <w:r>
        <w:rPr>
          <w:rFonts w:hint="eastAsia" w:ascii="仿宋" w:hAnsi="仿宋" w:eastAsia="仿宋" w:cs="仿宋"/>
          <w:b/>
          <w:bCs/>
          <w:sz w:val="28"/>
          <w:szCs w:val="28"/>
        </w:rPr>
        <w:t>废标处理及响应资格无效情形</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22.1在招标采购中，出现下列情形之一的，应对采购项目予以废标：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22.1.1符合专业条件的供应商或对发包文件作实质响应的供应商不足规定家数的；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22.1.2出现影响采购公正的违法、违规行为的；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22.1.3因重大变故，采购任务取消的。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废标后，采购人会把废标理由通知所有供应商。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22.2供应商存在下列情况之一的，响应资格无效: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22.2.1未按照发包文件的规定提交响应保证金的；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22.2.2响应文件未按发包文件要求签署、盖章的；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22.2.3不具备发包文件中规定的资格要求的；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22.2.4响应文件含有采购人不能接受的附加条件的；</w:t>
      </w:r>
    </w:p>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22.2.5法律、法规和发包文件规定的其他无效情形。</w:t>
      </w:r>
    </w:p>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 xml:space="preserve">22.3若废标情形符合22.1.1条款的，经监管部门批准后，现场可以转为其他采购方式。 </w:t>
      </w:r>
    </w:p>
    <w:p>
      <w:pPr>
        <w:pStyle w:val="6"/>
        <w:spacing w:before="140" w:after="140" w:line="520" w:lineRule="exact"/>
        <w:ind w:firstLine="0"/>
        <w:rPr>
          <w:rFonts w:ascii="黑体" w:hAnsi="黑体" w:cs="黑体"/>
          <w:sz w:val="28"/>
          <w:szCs w:val="28"/>
        </w:rPr>
      </w:pPr>
      <w:bookmarkStart w:id="147" w:name="_Toc25172"/>
      <w:bookmarkStart w:id="148" w:name="_Toc729"/>
      <w:bookmarkStart w:id="149" w:name="_Toc27510"/>
      <w:bookmarkStart w:id="150" w:name="_Toc457942813"/>
      <w:bookmarkStart w:id="151" w:name="_Toc9789"/>
      <w:bookmarkStart w:id="152" w:name="_Toc11191"/>
      <w:bookmarkStart w:id="153" w:name="_Toc101102117"/>
      <w:bookmarkStart w:id="154" w:name="_Toc516969091"/>
      <w:bookmarkStart w:id="155" w:name="_Toc13451"/>
      <w:bookmarkStart w:id="156" w:name="_Toc24394"/>
      <w:bookmarkStart w:id="157" w:name="_Toc30516"/>
      <w:bookmarkStart w:id="158" w:name="_Toc101"/>
      <w:bookmarkStart w:id="159" w:name="_Toc21311"/>
      <w:bookmarkStart w:id="160" w:name="_Toc6378"/>
      <w:r>
        <w:rPr>
          <w:rFonts w:hint="eastAsia" w:ascii="黑体" w:hAnsi="黑体" w:cs="黑体"/>
          <w:sz w:val="28"/>
          <w:szCs w:val="28"/>
        </w:rPr>
        <w:t>六．定标与签订合同</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23.定标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23.1投标有效性评审后，评审小组应当按发包文件规定的标准和方法提出独立评审意见，推荐成交候选供应商。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23.2成交供应商放弃成交、因不可抗力不能履行合同、不按照发包文件要求提交履约保证金，或者被查实存在影响成交结果的违法行为等情形，不符合成交条件的，采购人可以按照评审小组提出的成交候选供应商名单排序依次确定其他成交候选供应商为成交供应商，也可以重新采购。</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23.3采购人把合同授予实质上响应发包文件要求的排名最前的成交候选供应商或通过上条资格审查的成交候选供应商。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23.4最低报价并不是被授予合同的保证。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23.5凡发现成交候选供应商有下列行为之一的，其成交无效，并移交监督管理部门依法处理：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23.5.1以他人名义投标或提供虚假材料弄虚作假谋取成交的；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23.5.1.1以他人名义投标，是指使用通过受让或者租借等方式获取的资格、资质证书投标。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23.5.1.2供应商有下列情形之一的，属于提供弄虚作假的行为：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23.5.1.2.1使用伪造、变造的许可证件；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23.5.1.2.2提供虚假的财务状况或者业绩；</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23.5.1.2.3提供虚假的项目负责人或者主要技术人员简历、劳动关系证明；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23.5.1.2.4提供虚假的信用状况；</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23.5.1.2.5其他弄虚作假的行为。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23.5.2与采购人、其他供应商或者采购代理机构工作人员恶意串通的；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23.5.3向采购人、评审专家、采购代理机构工作人员行贿或者提供其他不正当利益的；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23.5.4有法律、法规规定的其他损害采购人利益和社会公共利益情形的；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23.5.5其他违反采购法律、法规和规章强制性规定的行为。</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24.成交通知书</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24.1成交供应商确定后,发布成交公告，同时以书面形式向成交供应商发出成交通知书。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24.2采购人对未成交的供应商不做未成交原因的解释。</w:t>
      </w:r>
    </w:p>
    <w:p>
      <w:pPr>
        <w:spacing w:line="360" w:lineRule="auto"/>
        <w:ind w:firstLine="551" w:firstLineChars="196"/>
        <w:rPr>
          <w:rFonts w:ascii="仿宋" w:hAnsi="仿宋" w:eastAsia="仿宋" w:cs="仿宋"/>
          <w:sz w:val="28"/>
          <w:szCs w:val="28"/>
        </w:rPr>
      </w:pPr>
      <w:r>
        <w:rPr>
          <w:rFonts w:hint="eastAsia" w:ascii="仿宋" w:hAnsi="仿宋" w:eastAsia="仿宋" w:cs="仿宋"/>
          <w:b/>
          <w:sz w:val="28"/>
          <w:szCs w:val="28"/>
        </w:rPr>
        <w:t xml:space="preserve">25.成交服务费 </w:t>
      </w:r>
      <w:r>
        <w:rPr>
          <w:rFonts w:hint="eastAsia" w:ascii="仿宋" w:hAnsi="仿宋" w:eastAsia="仿宋" w:cs="仿宋"/>
          <w:sz w:val="28"/>
          <w:szCs w:val="28"/>
        </w:rPr>
        <w:t>详见供应商须知前附表</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26.履约保证金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26.1签订合同前，成交供应商应提交履约保证金。履约保证金金额、收受方式及收受人见供应商须知前附表规定。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26.2供应商须知前附表约定免收履约保证金的，从其规定。</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27.签订合同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27.1成交供应商应在成交通知书发出之日起十日内与采购人签订合同。发包文件、成交供应商的响应文件及澄清文件等，均作为合同的附件。合同签订前成交供应商应向采购人出示履约保证金缴纳证明。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27.2 采购双方必须严格按照发包文件、响应文件及有关承诺签订采购合同，不得擅自变更。合同的标的、价款、质量、履行期限等主要条款应当与发包文件和成交供应商的响应文件的内容一致，采购人和成交供应商不得再行订立背离合同实质性内容的其他协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27.3采购人保留以书面形式要求合同的卖方对其所投货物的装运方式、交货地点及服务细则等作适当调整的权利。</w:t>
      </w:r>
    </w:p>
    <w:p>
      <w:pPr>
        <w:spacing w:line="360" w:lineRule="auto"/>
        <w:ind w:firstLine="551" w:firstLineChars="196"/>
        <w:rPr>
          <w:rFonts w:ascii="仿宋" w:hAnsi="仿宋" w:eastAsia="仿宋" w:cs="仿宋"/>
          <w:sz w:val="28"/>
          <w:szCs w:val="28"/>
        </w:rPr>
      </w:pPr>
      <w:r>
        <w:rPr>
          <w:rFonts w:hint="eastAsia" w:ascii="仿宋" w:hAnsi="仿宋" w:eastAsia="仿宋" w:cs="仿宋"/>
          <w:b/>
          <w:sz w:val="28"/>
          <w:szCs w:val="28"/>
        </w:rPr>
        <w:t>28.验收</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28.1采购人验收时，应成立三人以上（由合同双方、资产管理人、技术人员、纪检等相关人员组成）验收小组，明确责任，严格依照采购文件、成交通知书、采购合同及相关验收规范进行核对、验收，形成验收结论，并出具书面验收报告。</w:t>
      </w:r>
    </w:p>
    <w:p>
      <w:pPr>
        <w:spacing w:line="360" w:lineRule="auto"/>
        <w:ind w:firstLine="562" w:firstLineChars="200"/>
        <w:rPr>
          <w:rFonts w:ascii="仿宋" w:hAnsi="仿宋" w:eastAsia="仿宋" w:cs="仿宋"/>
          <w:bCs/>
          <w:sz w:val="28"/>
          <w:szCs w:val="28"/>
        </w:rPr>
      </w:pPr>
      <w:r>
        <w:rPr>
          <w:rFonts w:hint="eastAsia" w:ascii="仿宋" w:hAnsi="仿宋" w:eastAsia="仿宋" w:cs="仿宋"/>
          <w:b/>
          <w:sz w:val="28"/>
          <w:szCs w:val="28"/>
        </w:rPr>
        <w:t xml:space="preserve">29.质疑和投诉 </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29.1质疑人认为成交结果使自己的权益受到损害的，可以向采购人（采购代理机构）提出质疑或投诉。质疑实行实名制，应当有具体的事项及根据，不得进行虚假、恶意质疑，扰乱正常工作秩序。</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29.2质疑应以书面形式实名提出，书面质疑材料应当包括以下内容：</w:t>
      </w:r>
    </w:p>
    <w:p>
      <w:pPr>
        <w:widowControl/>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29.2.1质疑人的名称、地址、有效联系方式；</w:t>
      </w:r>
    </w:p>
    <w:p>
      <w:pPr>
        <w:widowControl/>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29.2.2项目名称、项目编号、包别号（如有）；</w:t>
      </w:r>
    </w:p>
    <w:p>
      <w:pPr>
        <w:widowControl/>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29.2.3被质疑人名称；</w:t>
      </w:r>
    </w:p>
    <w:p>
      <w:pPr>
        <w:widowControl/>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29.2.4具体的质疑事项、基本事实及必要的证明材料；</w:t>
      </w:r>
    </w:p>
    <w:p>
      <w:pPr>
        <w:widowControl/>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29.2.5明确的请求及主张；</w:t>
      </w:r>
    </w:p>
    <w:p>
      <w:pPr>
        <w:widowControl/>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29.2.6提起质疑的日期。</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质疑人为法人或者其他组织的，应当由法定代表人或其委托代理人（需有委托授权书）签字并加盖公章。</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质疑人需要修改、补充质疑材料的，应当在质疑期内提交修改或补充材料。</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29.4有下列情形之一的，不予受理：</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.4.1提起质疑的主体不是参与该采购项目活动的供应商；</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.4.2提起质疑的时间超过规定时限的；</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.4.3质疑材料不完整的；</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.4.4质疑事项含有主观猜测等内容且未提供有效线索、难以查证的；</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.4.5对其他供应商的响应文件详细内容质疑，无法提供合法来源渠道的；</w:t>
      </w:r>
    </w:p>
    <w:p>
      <w:pPr>
        <w:widowControl/>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.4.6质疑事项已进入投诉处理、行政复议或行政诉讼程序的。</w:t>
      </w:r>
    </w:p>
    <w:p>
      <w:pPr>
        <w:spacing w:line="360" w:lineRule="auto"/>
        <w:ind w:firstLine="551" w:firstLineChars="196"/>
        <w:rPr>
          <w:rFonts w:ascii="仿宋" w:hAnsi="仿宋" w:eastAsia="仿宋" w:cs="仿宋"/>
          <w:sz w:val="28"/>
          <w:szCs w:val="28"/>
        </w:rPr>
      </w:pPr>
      <w:r>
        <w:rPr>
          <w:rFonts w:hint="eastAsia" w:ascii="仿宋" w:hAnsi="仿宋" w:eastAsia="仿宋" w:cs="仿宋"/>
          <w:b/>
          <w:sz w:val="28"/>
          <w:szCs w:val="28"/>
        </w:rPr>
        <w:t xml:space="preserve">30.未尽事宜  </w:t>
      </w:r>
      <w:r>
        <w:rPr>
          <w:rFonts w:hint="eastAsia" w:ascii="仿宋" w:hAnsi="仿宋" w:eastAsia="仿宋" w:cs="仿宋"/>
          <w:sz w:val="28"/>
          <w:szCs w:val="28"/>
        </w:rPr>
        <w:t>按相关法律法规的规定执行。</w:t>
      </w:r>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 xml:space="preserve">31.解释权  </w:t>
      </w:r>
      <w:r>
        <w:rPr>
          <w:rFonts w:hint="eastAsia" w:ascii="仿宋" w:hAnsi="仿宋" w:eastAsia="仿宋" w:cs="仿宋"/>
          <w:sz w:val="28"/>
          <w:szCs w:val="28"/>
        </w:rPr>
        <w:t>本发包文件的解释权属于采购人。</w:t>
      </w:r>
    </w:p>
    <w:p>
      <w:pPr>
        <w:spacing w:beforeLines="50" w:afterLines="50" w:line="520" w:lineRule="exact"/>
        <w:jc w:val="center"/>
      </w:pPr>
      <w:bookmarkStart w:id="161" w:name="_Toc26253"/>
      <w:bookmarkStart w:id="162" w:name="_Toc26655"/>
      <w:bookmarkStart w:id="163" w:name="_Toc1231"/>
      <w:bookmarkStart w:id="164" w:name="_Toc101102118"/>
      <w:bookmarkStart w:id="165" w:name="_Toc9239"/>
      <w:bookmarkStart w:id="166" w:name="_Toc28868"/>
      <w:bookmarkStart w:id="167" w:name="_Toc5585"/>
    </w:p>
    <w:p>
      <w:pPr>
        <w:spacing w:beforeLines="50" w:afterLines="50" w:line="520" w:lineRule="exact"/>
        <w:jc w:val="center"/>
      </w:pPr>
    </w:p>
    <w:p>
      <w:pPr>
        <w:spacing w:beforeLines="50" w:afterLines="50" w:line="520" w:lineRule="exact"/>
        <w:jc w:val="center"/>
      </w:pPr>
    </w:p>
    <w:p>
      <w:pPr>
        <w:spacing w:beforeLines="50" w:afterLines="50" w:line="520" w:lineRule="exact"/>
        <w:jc w:val="center"/>
      </w:pPr>
    </w:p>
    <w:p>
      <w:pPr>
        <w:spacing w:beforeLines="50" w:afterLines="50" w:line="520" w:lineRule="exact"/>
        <w:jc w:val="center"/>
      </w:pPr>
    </w:p>
    <w:p>
      <w:pPr>
        <w:spacing w:beforeLines="50" w:afterLines="50" w:line="520" w:lineRule="exact"/>
      </w:pPr>
    </w:p>
    <w:p>
      <w:pPr>
        <w:pStyle w:val="57"/>
        <w:spacing w:before="120" w:after="120"/>
        <w:rPr>
          <w:rFonts w:ascii="Times New Roman" w:hAnsi="Times New Roman" w:eastAsia="宋体"/>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8"/>
        <w:ind w:firstLine="420"/>
        <w:rPr>
          <w:rFonts w:ascii="Times New Roman" w:hAnsi="Times New Roman"/>
        </w:rPr>
      </w:pPr>
    </w:p>
    <w:p>
      <w:pPr>
        <w:pStyle w:val="5"/>
        <w:spacing w:beforeLines="50" w:afterLines="50" w:line="520" w:lineRule="exact"/>
        <w:jc w:val="center"/>
        <w:rPr>
          <w:rFonts w:ascii="黑体" w:hAnsi="黑体" w:eastAsia="黑体" w:cs="黑体"/>
          <w:sz w:val="32"/>
          <w:szCs w:val="32"/>
        </w:rPr>
      </w:pPr>
      <w:bookmarkStart w:id="168" w:name="_Toc8768"/>
      <w:bookmarkStart w:id="169" w:name="_Toc20847"/>
      <w:bookmarkStart w:id="170" w:name="_Toc14260"/>
      <w:bookmarkStart w:id="171" w:name="_Toc4706"/>
      <w:r>
        <w:rPr>
          <w:rFonts w:hint="eastAsia" w:ascii="黑体" w:hAnsi="黑体" w:eastAsia="黑体" w:cs="黑体"/>
          <w:sz w:val="32"/>
          <w:szCs w:val="32"/>
        </w:rPr>
        <w:t xml:space="preserve">第四章 </w:t>
      </w:r>
      <w:r>
        <w:rPr>
          <w:rFonts w:ascii="黑体" w:hAnsi="黑体" w:eastAsia="黑体" w:cs="黑体"/>
          <w:sz w:val="32"/>
          <w:szCs w:val="32"/>
        </w:rPr>
        <w:t>评审办法</w:t>
      </w:r>
      <w:bookmarkEnd w:id="161"/>
      <w:bookmarkEnd w:id="162"/>
      <w:bookmarkEnd w:id="163"/>
      <w:bookmarkEnd w:id="164"/>
      <w:bookmarkEnd w:id="165"/>
      <w:bookmarkEnd w:id="166"/>
      <w:bookmarkEnd w:id="167"/>
      <w:bookmarkEnd w:id="168"/>
      <w:bookmarkEnd w:id="169"/>
      <w:bookmarkEnd w:id="170"/>
      <w:bookmarkEnd w:id="171"/>
    </w:p>
    <w:p>
      <w:pPr>
        <w:spacing w:line="360" w:lineRule="auto"/>
        <w:jc w:val="center"/>
        <w:rPr>
          <w:rFonts w:ascii="仿宋" w:hAnsi="仿宋" w:eastAsia="仿宋" w:cs="仿宋"/>
          <w:b/>
          <w:sz w:val="28"/>
          <w:szCs w:val="28"/>
        </w:rPr>
      </w:pPr>
      <w:r>
        <w:rPr>
          <w:rFonts w:hint="eastAsia" w:ascii="仿宋" w:hAnsi="仿宋" w:eastAsia="仿宋" w:cs="仿宋"/>
          <w:b/>
          <w:sz w:val="28"/>
          <w:szCs w:val="28"/>
        </w:rPr>
        <w:t>一、总  则</w:t>
      </w:r>
    </w:p>
    <w:p>
      <w:pPr>
        <w:adjustRightInd w:val="0"/>
        <w:snapToGrid w:val="0"/>
        <w:spacing w:line="360" w:lineRule="auto"/>
        <w:ind w:right="-10" w:firstLine="551" w:firstLineChars="196"/>
        <w:rPr>
          <w:rFonts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bCs/>
          <w:sz w:val="28"/>
          <w:szCs w:val="28"/>
        </w:rPr>
        <w:t xml:space="preserve"> 为了做好本项目的评审工作，保证项目评审工作的正常有序进行，维护采购人、供应商的合法权益，依据采购法律法规，本着公开、公平、公正的原则，制定本评审办法。</w:t>
      </w:r>
    </w:p>
    <w:p>
      <w:pPr>
        <w:adjustRightInd w:val="0"/>
        <w:snapToGrid w:val="0"/>
        <w:spacing w:line="360" w:lineRule="auto"/>
        <w:ind w:right="-10" w:firstLine="551" w:firstLineChars="196"/>
        <w:rPr>
          <w:rFonts w:ascii="仿宋" w:hAnsi="仿宋" w:eastAsia="仿宋" w:cs="仿宋"/>
          <w:sz w:val="28"/>
          <w:szCs w:val="28"/>
        </w:rPr>
      </w:pPr>
      <w:r>
        <w:rPr>
          <w:rFonts w:hint="eastAsia" w:ascii="仿宋" w:hAnsi="仿宋" w:eastAsia="仿宋" w:cs="仿宋"/>
          <w:b/>
          <w:bCs/>
          <w:sz w:val="28"/>
          <w:szCs w:val="28"/>
        </w:rPr>
        <w:t xml:space="preserve">第二条 </w:t>
      </w:r>
      <w:r>
        <w:rPr>
          <w:rFonts w:hint="eastAsia" w:ascii="仿宋" w:hAnsi="仿宋" w:eastAsia="仿宋" w:cs="仿宋"/>
          <w:bCs/>
          <w:sz w:val="28"/>
          <w:szCs w:val="28"/>
        </w:rPr>
        <w:t>本次项目评审办法采用综合评分法。</w:t>
      </w:r>
    </w:p>
    <w:p>
      <w:pPr>
        <w:adjustRightInd w:val="0"/>
        <w:snapToGrid w:val="0"/>
        <w:spacing w:line="360" w:lineRule="auto"/>
        <w:ind w:right="-10" w:firstLine="551" w:firstLineChars="196"/>
        <w:rPr>
          <w:rFonts w:ascii="仿宋" w:hAnsi="仿宋" w:eastAsia="仿宋" w:cs="仿宋"/>
          <w:bCs/>
          <w:sz w:val="28"/>
          <w:szCs w:val="28"/>
        </w:rPr>
      </w:pPr>
      <w:r>
        <w:rPr>
          <w:rFonts w:hint="eastAsia" w:ascii="仿宋" w:hAnsi="仿宋" w:eastAsia="仿宋" w:cs="仿宋"/>
          <w:b/>
          <w:bCs/>
          <w:sz w:val="28"/>
          <w:szCs w:val="28"/>
        </w:rPr>
        <w:t>第三条</w:t>
      </w:r>
      <w:r>
        <w:rPr>
          <w:rFonts w:hint="eastAsia" w:ascii="仿宋" w:hAnsi="仿宋" w:eastAsia="仿宋" w:cs="仿宋"/>
          <w:bCs/>
          <w:sz w:val="28"/>
          <w:szCs w:val="28"/>
        </w:rPr>
        <w:t xml:space="preserve"> 本项目将依法组建不少于3人组成的评审小组，负责本项目的评审工作。</w:t>
      </w:r>
    </w:p>
    <w:p>
      <w:pPr>
        <w:adjustRightInd w:val="0"/>
        <w:snapToGrid w:val="0"/>
        <w:spacing w:line="360" w:lineRule="auto"/>
        <w:ind w:right="-10" w:firstLine="551" w:firstLineChars="196"/>
        <w:rPr>
          <w:rFonts w:ascii="仿宋" w:hAnsi="仿宋" w:eastAsia="仿宋" w:cs="仿宋"/>
          <w:bCs/>
          <w:sz w:val="28"/>
          <w:szCs w:val="28"/>
        </w:rPr>
      </w:pPr>
      <w:r>
        <w:rPr>
          <w:rFonts w:hint="eastAsia" w:ascii="仿宋" w:hAnsi="仿宋" w:eastAsia="仿宋" w:cs="仿宋"/>
          <w:b/>
          <w:bCs/>
          <w:sz w:val="28"/>
          <w:szCs w:val="28"/>
        </w:rPr>
        <w:t>第四条</w:t>
      </w:r>
      <w:r>
        <w:rPr>
          <w:rFonts w:hint="eastAsia" w:ascii="仿宋" w:hAnsi="仿宋" w:eastAsia="仿宋" w:cs="仿宋"/>
          <w:bCs/>
          <w:sz w:val="28"/>
          <w:szCs w:val="28"/>
        </w:rPr>
        <w:t xml:space="preserve"> 评审小组按照“公平、公正、科学、择优”的原则，评价参加本次采购的供应商所提供的产品价格、性能、质量、服务及对发包文件的符合性及响应性。</w:t>
      </w:r>
    </w:p>
    <w:p>
      <w:pPr>
        <w:adjustRightInd w:val="0"/>
        <w:snapToGrid w:val="0"/>
        <w:spacing w:line="360" w:lineRule="auto"/>
        <w:ind w:right="-10"/>
        <w:jc w:val="center"/>
        <w:rPr>
          <w:rFonts w:ascii="仿宋" w:hAnsi="仿宋" w:eastAsia="仿宋" w:cs="仿宋"/>
          <w:sz w:val="28"/>
          <w:szCs w:val="28"/>
        </w:rPr>
      </w:pPr>
      <w:r>
        <w:rPr>
          <w:rFonts w:hint="eastAsia" w:ascii="仿宋" w:hAnsi="仿宋" w:eastAsia="仿宋" w:cs="仿宋"/>
          <w:b/>
          <w:sz w:val="28"/>
          <w:szCs w:val="28"/>
        </w:rPr>
        <w:t>二、评审程序及评审细则</w:t>
      </w:r>
    </w:p>
    <w:p>
      <w:pPr>
        <w:adjustRightInd w:val="0"/>
        <w:snapToGrid w:val="0"/>
        <w:spacing w:line="360" w:lineRule="auto"/>
        <w:ind w:right="-10" w:firstLine="551" w:firstLineChars="196"/>
        <w:rPr>
          <w:rFonts w:ascii="仿宋" w:hAnsi="仿宋" w:eastAsia="仿宋" w:cs="仿宋"/>
          <w:sz w:val="28"/>
          <w:szCs w:val="28"/>
        </w:rPr>
      </w:pPr>
      <w:r>
        <w:rPr>
          <w:rFonts w:hint="eastAsia" w:ascii="仿宋" w:hAnsi="仿宋" w:eastAsia="仿宋" w:cs="仿宋"/>
          <w:b/>
          <w:sz w:val="28"/>
          <w:szCs w:val="28"/>
        </w:rPr>
        <w:t>第五条</w:t>
      </w:r>
      <w:r>
        <w:rPr>
          <w:rFonts w:hint="eastAsia" w:ascii="仿宋" w:hAnsi="仿宋" w:eastAsia="仿宋" w:cs="仿宋"/>
          <w:sz w:val="28"/>
          <w:szCs w:val="28"/>
        </w:rPr>
        <w:t xml:space="preserve"> 评审工作于发包会后进行。评审小组应认真研究发包文件，至少应了解和熟悉以下内容：</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（一）采购的目标；</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（二）采购项目的范围和性质；</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（三）发包文件中规定的主要技术要求、标准和商务条款；</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（四）发包文件规定的评审标准、评审方法和在评审过程中考虑的相关因素。</w:t>
      </w:r>
    </w:p>
    <w:p>
      <w:pPr>
        <w:adjustRightInd w:val="0"/>
        <w:snapToGrid w:val="0"/>
        <w:spacing w:line="360" w:lineRule="auto"/>
        <w:ind w:right="-10" w:firstLine="551" w:firstLineChars="196"/>
        <w:rPr>
          <w:rFonts w:ascii="仿宋" w:hAnsi="仿宋" w:eastAsia="仿宋" w:cs="仿宋"/>
          <w:sz w:val="28"/>
          <w:szCs w:val="28"/>
        </w:rPr>
      </w:pPr>
      <w:r>
        <w:rPr>
          <w:rFonts w:hint="eastAsia" w:ascii="仿宋" w:hAnsi="仿宋" w:eastAsia="仿宋" w:cs="仿宋"/>
          <w:b/>
          <w:sz w:val="28"/>
          <w:szCs w:val="28"/>
        </w:rPr>
        <w:t>第六条</w:t>
      </w:r>
      <w:r>
        <w:rPr>
          <w:rFonts w:hint="eastAsia" w:ascii="仿宋" w:hAnsi="仿宋" w:eastAsia="仿宋" w:cs="仿宋"/>
          <w:sz w:val="28"/>
          <w:szCs w:val="28"/>
        </w:rPr>
        <w:t xml:space="preserve"> 有效响应应符合以下原则：</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（一）满足发包文件的实质性要求；</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（二）无重大偏离、保留或采购人不能接受的附加条件；</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（三）通过响应有效性评审；</w:t>
      </w:r>
    </w:p>
    <w:p>
      <w:pPr>
        <w:spacing w:line="360" w:lineRule="auto"/>
        <w:ind w:right="-10" w:firstLine="560" w:firstLineChars="200"/>
        <w:rPr>
          <w:rFonts w:ascii="仿宋" w:hAnsi="仿宋" w:eastAsia="仿宋" w:cs="仿宋"/>
          <w:sz w:val="28"/>
          <w:szCs w:val="28"/>
        </w:rPr>
      </w:pPr>
      <w:r>
        <w:rPr>
          <w:rFonts w:hint="eastAsia" w:ascii="仿宋" w:hAnsi="仿宋" w:eastAsia="仿宋" w:cs="仿宋"/>
          <w:sz w:val="28"/>
          <w:szCs w:val="28"/>
        </w:rPr>
        <w:t>（四）评审小组依据发包文件认定的其他原则。</w:t>
      </w:r>
    </w:p>
    <w:p>
      <w:pPr>
        <w:adjustRightInd w:val="0"/>
        <w:snapToGrid w:val="0"/>
        <w:spacing w:line="360" w:lineRule="auto"/>
        <w:ind w:right="-10" w:firstLine="551" w:firstLineChars="196"/>
        <w:rPr>
          <w:rFonts w:ascii="仿宋" w:hAnsi="仿宋" w:eastAsia="仿宋" w:cs="仿宋"/>
          <w:sz w:val="28"/>
          <w:szCs w:val="28"/>
        </w:rPr>
      </w:pPr>
      <w:r>
        <w:rPr>
          <w:rFonts w:hint="eastAsia" w:ascii="仿宋" w:hAnsi="仿宋" w:eastAsia="仿宋" w:cs="仿宋"/>
          <w:b/>
          <w:sz w:val="28"/>
          <w:szCs w:val="28"/>
        </w:rPr>
        <w:t xml:space="preserve">第七条 </w:t>
      </w:r>
      <w:r>
        <w:rPr>
          <w:rFonts w:hint="eastAsia" w:ascii="仿宋" w:hAnsi="仿宋" w:eastAsia="仿宋" w:cs="仿宋"/>
          <w:sz w:val="28"/>
          <w:szCs w:val="28"/>
        </w:rPr>
        <w:t>评审小组遵循公开、公平、公正和科学诚信的原则，按照发包文件规定的评审办法对响应文件采用相同程序和标准独立进行评定。</w:t>
      </w:r>
    </w:p>
    <w:p>
      <w:pPr>
        <w:adjustRightInd w:val="0"/>
        <w:snapToGrid w:val="0"/>
        <w:spacing w:line="360" w:lineRule="auto"/>
        <w:ind w:right="-10" w:firstLine="562" w:firstLineChars="200"/>
        <w:rPr>
          <w:rFonts w:ascii="仿宋" w:hAnsi="仿宋" w:eastAsia="仿宋" w:cs="仿宋"/>
          <w:sz w:val="28"/>
          <w:szCs w:val="28"/>
        </w:rPr>
      </w:pPr>
      <w:r>
        <w:rPr>
          <w:rFonts w:hint="eastAsia" w:ascii="仿宋" w:hAnsi="仿宋" w:eastAsia="仿宋" w:cs="仿宋"/>
          <w:b/>
          <w:sz w:val="28"/>
          <w:szCs w:val="28"/>
        </w:rPr>
        <w:t xml:space="preserve">第八条 </w:t>
      </w:r>
      <w:r>
        <w:rPr>
          <w:rFonts w:hint="eastAsia" w:ascii="仿宋" w:hAnsi="仿宋" w:eastAsia="仿宋" w:cs="仿宋"/>
          <w:sz w:val="28"/>
          <w:szCs w:val="28"/>
        </w:rPr>
        <w:t>评审中，评审小组发现供应商的响应文件中对同类问题表述不一致、前后矛盾、有明显文字和计算错误的内容、有可能不符合发包文件规定等情况需要澄清时，评审小组将以询标的方式告知并要求供应商以书面方式进行必要的澄清、说明或补正。对于询标后判定为不符合发包文件的响应文件，评审小组要提出充足的否定理由，并予以书面记录。最终对供应商的评审结论分为通过和未通过。</w:t>
      </w:r>
    </w:p>
    <w:p>
      <w:pPr>
        <w:adjustRightInd w:val="0"/>
        <w:snapToGrid w:val="0"/>
        <w:spacing w:line="360" w:lineRule="auto"/>
        <w:ind w:right="-10"/>
        <w:rPr>
          <w:rFonts w:ascii="仿宋" w:hAnsi="仿宋" w:eastAsia="仿宋" w:cs="仿宋"/>
          <w:sz w:val="28"/>
          <w:szCs w:val="28"/>
        </w:rPr>
      </w:pPr>
    </w:p>
    <w:p>
      <w:pPr>
        <w:pageBreakBefore/>
        <w:adjustRightInd w:val="0"/>
        <w:snapToGrid w:val="0"/>
        <w:spacing w:line="360" w:lineRule="auto"/>
        <w:ind w:right="-11"/>
        <w:rPr>
          <w:rFonts w:ascii="仿宋" w:hAnsi="仿宋" w:eastAsia="仿宋" w:cs="仿宋"/>
          <w:b/>
          <w:sz w:val="28"/>
          <w:szCs w:val="28"/>
        </w:rPr>
      </w:pPr>
      <w:r>
        <w:rPr>
          <w:rFonts w:hint="eastAsia" w:ascii="仿宋" w:hAnsi="仿宋" w:eastAsia="仿宋" w:cs="仿宋"/>
          <w:b/>
          <w:bCs/>
          <w:sz w:val="28"/>
          <w:szCs w:val="28"/>
        </w:rPr>
        <w:t>询标函格式如下：</w:t>
      </w:r>
    </w:p>
    <w:p>
      <w:pPr>
        <w:jc w:val="center"/>
        <w:rPr>
          <w:rFonts w:ascii="仿宋" w:hAnsi="仿宋" w:eastAsia="仿宋" w:cs="仿宋"/>
          <w:b/>
          <w:sz w:val="28"/>
          <w:szCs w:val="28"/>
        </w:rPr>
      </w:pPr>
    </w:p>
    <w:p>
      <w:pPr>
        <w:jc w:val="center"/>
        <w:rPr>
          <w:rFonts w:ascii="仿宋" w:hAnsi="仿宋" w:eastAsia="仿宋" w:cs="仿宋"/>
          <w:b/>
          <w:sz w:val="28"/>
          <w:szCs w:val="28"/>
        </w:rPr>
      </w:pPr>
      <w:r>
        <w:rPr>
          <w:rFonts w:hint="eastAsia" w:ascii="仿宋" w:hAnsi="仿宋" w:eastAsia="仿宋" w:cs="仿宋"/>
          <w:b/>
          <w:sz w:val="28"/>
          <w:szCs w:val="28"/>
        </w:rPr>
        <w:t>询    标    函</w:t>
      </w:r>
    </w:p>
    <w:p>
      <w:pPr>
        <w:rPr>
          <w:rFonts w:ascii="仿宋" w:hAnsi="仿宋" w:eastAsia="仿宋" w:cs="仿宋"/>
          <w:sz w:val="28"/>
          <w:szCs w:val="28"/>
        </w:rPr>
      </w:pPr>
      <w:r>
        <w:rPr>
          <w:rFonts w:hint="eastAsia" w:ascii="仿宋" w:hAnsi="仿宋" w:eastAsia="仿宋" w:cs="仿宋"/>
          <w:sz w:val="28"/>
          <w:szCs w:val="28"/>
        </w:rPr>
        <w:t>项目名称：</w:t>
      </w:r>
    </w:p>
    <w:p>
      <w:pPr>
        <w:rPr>
          <w:rFonts w:ascii="仿宋" w:hAnsi="仿宋" w:eastAsia="仿宋" w:cs="仿宋"/>
          <w:sz w:val="28"/>
          <w:szCs w:val="28"/>
        </w:rPr>
      </w:pPr>
      <w:r>
        <w:rPr>
          <w:rFonts w:hint="eastAsia" w:ascii="仿宋" w:hAnsi="仿宋" w:eastAsia="仿宋" w:cs="仿宋"/>
          <w:sz w:val="28"/>
          <w:szCs w:val="28"/>
        </w:rPr>
        <w:t>项目编号：</w:t>
      </w:r>
    </w:p>
    <w:p>
      <w:pPr>
        <w:rPr>
          <w:rFonts w:ascii="仿宋" w:hAnsi="仿宋" w:eastAsia="仿宋" w:cs="仿宋"/>
          <w:sz w:val="28"/>
          <w:szCs w:val="28"/>
        </w:rPr>
      </w:pPr>
      <w:r>
        <w:rPr>
          <w:rFonts w:hint="eastAsia" w:ascii="仿宋" w:hAnsi="仿宋" w:eastAsia="仿宋" w:cs="仿宋"/>
          <w:sz w:val="28"/>
          <w:szCs w:val="28"/>
        </w:rPr>
        <w:t xml:space="preserve">日期：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8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4" w:type="dxa"/>
          </w:tcPr>
          <w:p>
            <w:pPr>
              <w:jc w:val="center"/>
            </w:pPr>
          </w:p>
          <w:p>
            <w:pPr>
              <w:pStyle w:val="20"/>
            </w:pPr>
          </w:p>
        </w:tc>
        <w:tc>
          <w:tcPr>
            <w:tcW w:w="8233"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1814" w:type="dxa"/>
          </w:tcPr>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供应商的意见</w:t>
            </w: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（作出确认或说明、纠正、补充、承诺等意见）</w:t>
            </w:r>
          </w:p>
        </w:tc>
        <w:tc>
          <w:tcPr>
            <w:tcW w:w="8233" w:type="dxa"/>
          </w:tcPr>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投标人法定代表人或其委托代理人签字：</w:t>
            </w:r>
          </w:p>
          <w:p>
            <w:pPr>
              <w:rPr>
                <w:rFonts w:ascii="仿宋" w:hAnsi="仿宋" w:eastAsia="仿宋" w:cs="仿宋"/>
                <w:sz w:val="28"/>
                <w:szCs w:val="28"/>
              </w:rPr>
            </w:pPr>
            <w:r>
              <w:rPr>
                <w:rFonts w:hint="eastAsia" w:ascii="仿宋" w:hAnsi="仿宋" w:eastAsia="仿宋" w:cs="仿宋"/>
                <w:sz w:val="28"/>
                <w:szCs w:val="28"/>
              </w:rPr>
              <w:t>投标人法定代表人或其委托代理人身份证号：</w:t>
            </w:r>
          </w:p>
          <w:p>
            <w:pPr>
              <w:rPr>
                <w:rFonts w:ascii="仿宋" w:hAnsi="仿宋" w:eastAsia="仿宋" w:cs="仿宋"/>
                <w:sz w:val="28"/>
                <w:szCs w:val="28"/>
              </w:rPr>
            </w:pPr>
            <w:r>
              <w:rPr>
                <w:rFonts w:hint="eastAsia" w:ascii="仿宋" w:hAnsi="仿宋" w:eastAsia="仿宋" w:cs="仿宋"/>
                <w:sz w:val="28"/>
                <w:szCs w:val="28"/>
              </w:rPr>
              <w:t xml:space="preserve">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814" w:type="dxa"/>
            <w:vAlign w:val="center"/>
          </w:tcPr>
          <w:p>
            <w:pP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评审小组</w:t>
            </w:r>
          </w:p>
          <w:p>
            <w:pPr>
              <w:jc w:val="center"/>
              <w:rPr>
                <w:rFonts w:ascii="仿宋" w:hAnsi="仿宋" w:eastAsia="仿宋" w:cs="仿宋"/>
                <w:sz w:val="28"/>
                <w:szCs w:val="28"/>
              </w:rPr>
            </w:pPr>
            <w:r>
              <w:rPr>
                <w:rFonts w:hint="eastAsia" w:ascii="仿宋" w:hAnsi="仿宋" w:eastAsia="仿宋" w:cs="仿宋"/>
                <w:sz w:val="28"/>
                <w:szCs w:val="28"/>
              </w:rPr>
              <w:t>结论意见</w:t>
            </w:r>
          </w:p>
        </w:tc>
        <w:tc>
          <w:tcPr>
            <w:tcW w:w="8233" w:type="dxa"/>
          </w:tcPr>
          <w:p>
            <w:pPr>
              <w:jc w:val="cente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各评委签字：</w:t>
            </w:r>
          </w:p>
          <w:p>
            <w:pPr>
              <w:rPr>
                <w:rFonts w:ascii="仿宋" w:hAnsi="仿宋" w:eastAsia="仿宋" w:cs="仿宋"/>
                <w:sz w:val="28"/>
                <w:szCs w:val="28"/>
              </w:rPr>
            </w:pPr>
            <w:r>
              <w:rPr>
                <w:rFonts w:hint="eastAsia" w:ascii="仿宋" w:hAnsi="仿宋" w:eastAsia="仿宋" w:cs="仿宋"/>
                <w:sz w:val="28"/>
                <w:szCs w:val="28"/>
              </w:rPr>
              <w:t xml:space="preserve">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1814" w:type="dxa"/>
            <w:vAlign w:val="center"/>
          </w:tcPr>
          <w:p>
            <w:pPr>
              <w:jc w:val="center"/>
              <w:rPr>
                <w:rFonts w:ascii="仿宋" w:hAnsi="仿宋" w:eastAsia="仿宋" w:cs="仿宋"/>
                <w:sz w:val="28"/>
                <w:szCs w:val="28"/>
              </w:rPr>
            </w:pPr>
            <w:r>
              <w:rPr>
                <w:rFonts w:hint="eastAsia" w:ascii="仿宋" w:hAnsi="仿宋" w:eastAsia="仿宋" w:cs="仿宋"/>
                <w:sz w:val="28"/>
                <w:szCs w:val="28"/>
              </w:rPr>
              <w:t>采购人代表的意见</w:t>
            </w:r>
          </w:p>
        </w:tc>
        <w:tc>
          <w:tcPr>
            <w:tcW w:w="8233" w:type="dxa"/>
          </w:tcPr>
          <w:p>
            <w:pPr>
              <w:jc w:val="cente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ind w:firstLine="9240" w:firstLineChars="3300"/>
              <w:rPr>
                <w:rFonts w:ascii="仿宋" w:hAnsi="仿宋" w:eastAsia="仿宋" w:cs="仿宋"/>
                <w:sz w:val="28"/>
                <w:szCs w:val="28"/>
              </w:rPr>
            </w:pPr>
            <w:r>
              <w:rPr>
                <w:rFonts w:hint="eastAsia" w:ascii="仿宋" w:hAnsi="仿宋" w:eastAsia="仿宋" w:cs="仿宋"/>
                <w:sz w:val="28"/>
                <w:szCs w:val="28"/>
              </w:rPr>
              <w:t xml:space="preserve"> 签字：</w:t>
            </w:r>
          </w:p>
          <w:p>
            <w:pPr>
              <w:jc w:val="right"/>
              <w:rPr>
                <w:rFonts w:ascii="仿宋" w:hAnsi="仿宋" w:eastAsia="仿宋" w:cs="仿宋"/>
                <w:sz w:val="28"/>
                <w:szCs w:val="28"/>
              </w:rPr>
            </w:pPr>
            <w:r>
              <w:rPr>
                <w:rFonts w:hint="eastAsia" w:ascii="仿宋" w:hAnsi="仿宋" w:eastAsia="仿宋" w:cs="仿宋"/>
                <w:sz w:val="28"/>
                <w:szCs w:val="28"/>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814" w:type="dxa"/>
            <w:vAlign w:val="center"/>
          </w:tcPr>
          <w:p>
            <w:pPr>
              <w:jc w:val="center"/>
              <w:rPr>
                <w:rFonts w:ascii="仿宋" w:hAnsi="仿宋" w:eastAsia="仿宋" w:cs="仿宋"/>
                <w:sz w:val="28"/>
                <w:szCs w:val="28"/>
              </w:rPr>
            </w:pPr>
            <w:r>
              <w:rPr>
                <w:rFonts w:hint="eastAsia" w:ascii="仿宋" w:hAnsi="仿宋" w:eastAsia="仿宋" w:cs="仿宋"/>
                <w:sz w:val="28"/>
                <w:szCs w:val="28"/>
              </w:rPr>
              <w:t>监督人员</w:t>
            </w:r>
          </w:p>
          <w:p>
            <w:pPr>
              <w:jc w:val="center"/>
              <w:rPr>
                <w:rFonts w:ascii="仿宋" w:hAnsi="仿宋" w:eastAsia="仿宋" w:cs="仿宋"/>
                <w:sz w:val="28"/>
                <w:szCs w:val="28"/>
              </w:rPr>
            </w:pPr>
            <w:r>
              <w:rPr>
                <w:rFonts w:hint="eastAsia" w:ascii="仿宋" w:hAnsi="仿宋" w:eastAsia="仿宋" w:cs="仿宋"/>
                <w:sz w:val="28"/>
                <w:szCs w:val="28"/>
              </w:rPr>
              <w:t>意见</w:t>
            </w:r>
          </w:p>
        </w:tc>
        <w:tc>
          <w:tcPr>
            <w:tcW w:w="8233" w:type="dxa"/>
          </w:tcPr>
          <w:p>
            <w:pPr>
              <w:jc w:val="cente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各监督人员签字：</w:t>
            </w:r>
          </w:p>
          <w:p>
            <w:pPr>
              <w:jc w:val="center"/>
              <w:rPr>
                <w:rFonts w:ascii="仿宋" w:hAnsi="仿宋" w:eastAsia="仿宋" w:cs="仿宋"/>
                <w:sz w:val="28"/>
                <w:szCs w:val="28"/>
              </w:rPr>
            </w:pPr>
            <w:r>
              <w:rPr>
                <w:rFonts w:hint="eastAsia" w:ascii="仿宋" w:hAnsi="仿宋" w:eastAsia="仿宋" w:cs="仿宋"/>
                <w:sz w:val="28"/>
                <w:szCs w:val="28"/>
              </w:rPr>
              <w:t xml:space="preserve">                                 签字日期：    年   月  日</w:t>
            </w:r>
          </w:p>
        </w:tc>
      </w:tr>
    </w:tbl>
    <w:p>
      <w:pPr>
        <w:adjustRightInd w:val="0"/>
        <w:snapToGrid w:val="0"/>
        <w:spacing w:line="360" w:lineRule="auto"/>
        <w:ind w:right="-10" w:firstLine="562" w:firstLineChars="200"/>
        <w:rPr>
          <w:rFonts w:ascii="仿宋" w:hAnsi="仿宋" w:eastAsia="仿宋" w:cs="仿宋"/>
          <w:b/>
          <w:sz w:val="28"/>
          <w:szCs w:val="28"/>
        </w:rPr>
      </w:pPr>
    </w:p>
    <w:p>
      <w:pPr>
        <w:adjustRightInd w:val="0"/>
        <w:snapToGrid w:val="0"/>
        <w:spacing w:line="360" w:lineRule="auto"/>
        <w:ind w:right="-10" w:firstLine="562" w:firstLineChars="200"/>
        <w:rPr>
          <w:rFonts w:ascii="仿宋" w:hAnsi="仿宋" w:eastAsia="仿宋" w:cs="仿宋"/>
          <w:sz w:val="28"/>
          <w:szCs w:val="28"/>
        </w:rPr>
      </w:pPr>
      <w:r>
        <w:rPr>
          <w:rFonts w:hint="eastAsia" w:ascii="仿宋" w:hAnsi="仿宋" w:eastAsia="仿宋" w:cs="仿宋"/>
          <w:b/>
          <w:sz w:val="28"/>
          <w:szCs w:val="28"/>
        </w:rPr>
        <w:t xml:space="preserve">第九条 </w:t>
      </w:r>
      <w:r>
        <w:rPr>
          <w:rFonts w:hint="eastAsia" w:ascii="仿宋" w:hAnsi="仿宋" w:eastAsia="仿宋" w:cs="仿宋"/>
          <w:b/>
          <w:bCs/>
          <w:sz w:val="28"/>
          <w:szCs w:val="28"/>
        </w:rPr>
        <w:t>综合评分法，</w:t>
      </w:r>
      <w:r>
        <w:rPr>
          <w:rFonts w:hint="eastAsia" w:ascii="仿宋" w:hAnsi="仿宋" w:eastAsia="仿宋" w:cs="仿宋"/>
          <w:sz w:val="28"/>
          <w:szCs w:val="28"/>
        </w:rPr>
        <w:t>是指响应文件满足发包文件全部实质性要求且按照评审因素的量化指标评审得分最高的供应商为成交候选供应商的评审方法。满分为100分。评审程序如下：</w:t>
      </w:r>
    </w:p>
    <w:p>
      <w:pPr>
        <w:adjustRightInd w:val="0"/>
        <w:snapToGrid w:val="0"/>
        <w:spacing w:line="360" w:lineRule="auto"/>
        <w:ind w:right="-10"/>
        <w:rPr>
          <w:rFonts w:ascii="仿宋" w:hAnsi="仿宋" w:eastAsia="仿宋" w:cs="仿宋"/>
          <w:b/>
          <w:bCs/>
          <w:sz w:val="28"/>
          <w:szCs w:val="28"/>
        </w:rPr>
      </w:pPr>
      <w:r>
        <w:rPr>
          <w:rFonts w:hint="eastAsia" w:ascii="仿宋" w:hAnsi="仿宋" w:eastAsia="仿宋" w:cs="仿宋"/>
          <w:b/>
          <w:bCs/>
          <w:sz w:val="28"/>
          <w:szCs w:val="28"/>
        </w:rPr>
        <w:t>1、资格审查</w:t>
      </w:r>
    </w:p>
    <w:tbl>
      <w:tblPr>
        <w:tblStyle w:val="40"/>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97"/>
        <w:gridCol w:w="1988"/>
        <w:gridCol w:w="2312"/>
        <w:gridCol w:w="1365"/>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9747" w:type="dxa"/>
            <w:gridSpan w:val="5"/>
            <w:tcBorders>
              <w:top w:val="single" w:color="auto" w:sz="12" w:space="0"/>
              <w:left w:val="single" w:color="auto" w:sz="12" w:space="0"/>
              <w:right w:val="single" w:color="auto" w:sz="12"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
                <w:kern w:val="2"/>
                <w:sz w:val="28"/>
                <w:szCs w:val="28"/>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9747" w:type="dxa"/>
            <w:gridSpan w:val="5"/>
            <w:tcBorders>
              <w:left w:val="single" w:color="auto" w:sz="12" w:space="0"/>
              <w:right w:val="single" w:color="auto" w:sz="12" w:space="0"/>
            </w:tcBorders>
            <w:vAlign w:val="center"/>
          </w:tcPr>
          <w:p>
            <w:pPr>
              <w:pStyle w:val="80"/>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sz w:val="28"/>
                <w:szCs w:val="28"/>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99" w:hRule="atLeast"/>
          <w:jc w:val="center"/>
        </w:trPr>
        <w:tc>
          <w:tcPr>
            <w:tcW w:w="497" w:type="dxa"/>
            <w:tcBorders>
              <w:left w:val="single" w:color="auto" w:sz="12" w:space="0"/>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序号</w:t>
            </w:r>
          </w:p>
        </w:tc>
        <w:tc>
          <w:tcPr>
            <w:tcW w:w="1988"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指标名称</w:t>
            </w:r>
          </w:p>
        </w:tc>
        <w:tc>
          <w:tcPr>
            <w:tcW w:w="2312"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指标要求</w:t>
            </w:r>
          </w:p>
        </w:tc>
        <w:tc>
          <w:tcPr>
            <w:tcW w:w="1365"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是否通过</w:t>
            </w:r>
          </w:p>
        </w:tc>
        <w:tc>
          <w:tcPr>
            <w:tcW w:w="3585" w:type="dxa"/>
            <w:tcBorders>
              <w:bottom w:val="single" w:color="auto" w:sz="4" w:space="0"/>
              <w:right w:val="single" w:color="auto" w:sz="12"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65" w:hRule="atLeast"/>
          <w:jc w:val="center"/>
        </w:trPr>
        <w:tc>
          <w:tcPr>
            <w:tcW w:w="497" w:type="dxa"/>
            <w:tcBorders>
              <w:left w:val="single" w:color="auto" w:sz="12" w:space="0"/>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1</w:t>
            </w:r>
          </w:p>
        </w:tc>
        <w:tc>
          <w:tcPr>
            <w:tcW w:w="1988"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响应保证金</w:t>
            </w:r>
          </w:p>
        </w:tc>
        <w:tc>
          <w:tcPr>
            <w:tcW w:w="2312"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符合发包文件要求</w:t>
            </w:r>
          </w:p>
        </w:tc>
        <w:tc>
          <w:tcPr>
            <w:tcW w:w="1365"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tcBorders>
              <w:bottom w:val="single" w:color="auto" w:sz="4" w:space="0"/>
              <w:right w:val="single" w:color="auto" w:sz="12"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第三章供应商须知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767" w:hRule="atLeast"/>
          <w:jc w:val="center"/>
        </w:trPr>
        <w:tc>
          <w:tcPr>
            <w:tcW w:w="497" w:type="dxa"/>
            <w:tcBorders>
              <w:left w:val="single" w:color="auto" w:sz="12" w:space="0"/>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2</w:t>
            </w:r>
          </w:p>
        </w:tc>
        <w:tc>
          <w:tcPr>
            <w:tcW w:w="1988"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营业执照</w:t>
            </w:r>
          </w:p>
        </w:tc>
        <w:tc>
          <w:tcPr>
            <w:tcW w:w="2312"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合法有效</w:t>
            </w:r>
          </w:p>
        </w:tc>
        <w:tc>
          <w:tcPr>
            <w:tcW w:w="1365"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vMerge w:val="restart"/>
            <w:tcBorders>
              <w:right w:val="single" w:color="auto" w:sz="12" w:space="0"/>
            </w:tcBorders>
            <w:vAlign w:val="center"/>
          </w:tcPr>
          <w:p>
            <w:pPr>
              <w:pStyle w:val="80"/>
              <w:pBdr>
                <w:bottom w:val="none" w:color="auto" w:sz="0" w:space="0"/>
              </w:pBdr>
              <w:tabs>
                <w:tab w:val="clear" w:pos="4153"/>
                <w:tab w:val="clear" w:pos="8306"/>
              </w:tabs>
              <w:adjustRightInd/>
              <w:spacing w:line="400" w:lineRule="exact"/>
              <w:jc w:val="left"/>
              <w:textAlignment w:val="auto"/>
              <w:rPr>
                <w:rFonts w:hint="eastAsia" w:ascii="仿宋" w:hAnsi="仿宋" w:eastAsia="仿宋" w:cs="仿宋"/>
                <w:bCs/>
                <w:kern w:val="2"/>
                <w:sz w:val="28"/>
                <w:szCs w:val="28"/>
                <w:lang w:eastAsia="zh-CN"/>
              </w:rPr>
            </w:pPr>
            <w:r>
              <w:rPr>
                <w:rFonts w:hint="eastAsia" w:ascii="仿宋" w:hAnsi="仿宋" w:eastAsia="仿宋" w:cs="仿宋"/>
                <w:bCs/>
                <w:kern w:val="2"/>
                <w:sz w:val="28"/>
                <w:szCs w:val="28"/>
              </w:rPr>
              <w:t>提供有效的营业执照和税务登记证的扫描件或影印件，应完整的体现出营业执照和税务登记证的全部内容。已办理“三证合一”登记的，响应文件中提供营业执照扫描件或影印件即可。联合体投标的联合体各方均须提供。事业单位提供事业单位法人证书</w:t>
            </w:r>
            <w:r>
              <w:rPr>
                <w:rFonts w:hint="eastAsia" w:ascii="仿宋" w:hAnsi="仿宋" w:eastAsia="仿宋" w:cs="仿宋"/>
                <w:bCs/>
                <w:kern w:val="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93" w:hRule="atLeast"/>
          <w:jc w:val="center"/>
        </w:trPr>
        <w:tc>
          <w:tcPr>
            <w:tcW w:w="497" w:type="dxa"/>
            <w:tcBorders>
              <w:left w:val="single" w:color="auto" w:sz="12" w:space="0"/>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3</w:t>
            </w:r>
          </w:p>
        </w:tc>
        <w:tc>
          <w:tcPr>
            <w:tcW w:w="1988"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税务登记证</w:t>
            </w:r>
          </w:p>
        </w:tc>
        <w:tc>
          <w:tcPr>
            <w:tcW w:w="2312"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合法有效</w:t>
            </w:r>
          </w:p>
        </w:tc>
        <w:tc>
          <w:tcPr>
            <w:tcW w:w="1365"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vMerge w:val="continue"/>
            <w:tcBorders>
              <w:bottom w:val="single" w:color="auto" w:sz="4" w:space="0"/>
              <w:right w:val="single" w:color="auto" w:sz="12" w:space="0"/>
            </w:tcBorders>
            <w:vAlign w:val="center"/>
          </w:tcPr>
          <w:p>
            <w:pPr>
              <w:pStyle w:val="80"/>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30" w:hRule="atLeast"/>
          <w:jc w:val="center"/>
        </w:trPr>
        <w:tc>
          <w:tcPr>
            <w:tcW w:w="497" w:type="dxa"/>
            <w:tcBorders>
              <w:left w:val="single" w:color="auto" w:sz="12" w:space="0"/>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3</w:t>
            </w:r>
          </w:p>
        </w:tc>
        <w:tc>
          <w:tcPr>
            <w:tcW w:w="1988"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无重大违法记录声明函、无不良信用记录声明函</w:t>
            </w:r>
          </w:p>
        </w:tc>
        <w:tc>
          <w:tcPr>
            <w:tcW w:w="2312"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格式、填写要求符合发包文件规定并加盖供应商签章</w:t>
            </w:r>
          </w:p>
        </w:tc>
        <w:tc>
          <w:tcPr>
            <w:tcW w:w="1365"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tcBorders>
              <w:bottom w:val="single" w:color="auto" w:sz="4" w:space="0"/>
              <w:right w:val="single" w:color="auto" w:sz="12" w:space="0"/>
            </w:tcBorders>
            <w:vAlign w:val="center"/>
          </w:tcPr>
          <w:p>
            <w:pPr>
              <w:pStyle w:val="80"/>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第七章响应文件格式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824" w:hRule="atLeast"/>
          <w:jc w:val="center"/>
        </w:trPr>
        <w:tc>
          <w:tcPr>
            <w:tcW w:w="497" w:type="dxa"/>
            <w:tcBorders>
              <w:left w:val="single" w:color="auto" w:sz="12" w:space="0"/>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4</w:t>
            </w:r>
          </w:p>
        </w:tc>
        <w:tc>
          <w:tcPr>
            <w:tcW w:w="1988"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sz w:val="28"/>
                <w:szCs w:val="28"/>
              </w:rPr>
              <w:t>供应商其他资格要求</w:t>
            </w:r>
          </w:p>
        </w:tc>
        <w:tc>
          <w:tcPr>
            <w:tcW w:w="2312"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符合发包公告要求</w:t>
            </w:r>
          </w:p>
        </w:tc>
        <w:tc>
          <w:tcPr>
            <w:tcW w:w="1365"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tcBorders>
              <w:bottom w:val="single" w:color="auto" w:sz="4" w:space="0"/>
              <w:right w:val="single" w:color="auto" w:sz="12" w:space="0"/>
            </w:tcBorders>
            <w:vAlign w:val="center"/>
          </w:tcPr>
          <w:p>
            <w:pPr>
              <w:pStyle w:val="80"/>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响应文件中提供扫描件或影印件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30" w:hRule="atLeast"/>
          <w:jc w:val="center"/>
        </w:trPr>
        <w:tc>
          <w:tcPr>
            <w:tcW w:w="497" w:type="dxa"/>
            <w:tcBorders>
              <w:left w:val="single" w:color="auto" w:sz="12" w:space="0"/>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5</w:t>
            </w:r>
          </w:p>
        </w:tc>
        <w:tc>
          <w:tcPr>
            <w:tcW w:w="1988"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投标授权书</w:t>
            </w:r>
          </w:p>
        </w:tc>
        <w:tc>
          <w:tcPr>
            <w:tcW w:w="2312"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格式、填写要求符合发包文件规定并加盖供应商签章</w:t>
            </w:r>
          </w:p>
        </w:tc>
        <w:tc>
          <w:tcPr>
            <w:tcW w:w="1365"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tcBorders>
              <w:bottom w:val="single" w:color="auto" w:sz="4" w:space="0"/>
              <w:right w:val="single" w:color="auto" w:sz="12" w:space="0"/>
            </w:tcBorders>
            <w:vAlign w:val="center"/>
          </w:tcPr>
          <w:p>
            <w:pPr>
              <w:pStyle w:val="80"/>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法定代表人参加投标的无需此件，提供身份证明扫描件或影印件即可。第七章响应文件格式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30" w:hRule="atLeast"/>
          <w:jc w:val="center"/>
        </w:trPr>
        <w:tc>
          <w:tcPr>
            <w:tcW w:w="497" w:type="dxa"/>
            <w:tcBorders>
              <w:left w:val="single" w:color="auto" w:sz="12" w:space="0"/>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6</w:t>
            </w:r>
          </w:p>
        </w:tc>
        <w:tc>
          <w:tcPr>
            <w:tcW w:w="1988"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r>
              <w:rPr>
                <w:rFonts w:hint="eastAsia" w:ascii="仿宋" w:hAnsi="仿宋" w:eastAsia="仿宋" w:cs="仿宋"/>
                <w:bCs/>
                <w:kern w:val="2"/>
                <w:sz w:val="28"/>
                <w:szCs w:val="28"/>
              </w:rPr>
              <w:t>标书响应情况</w:t>
            </w:r>
          </w:p>
        </w:tc>
        <w:tc>
          <w:tcPr>
            <w:tcW w:w="2312"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技术响应（无重大偏离）、付款响应、服务期响应等与发包文件要求无重大偏离。</w:t>
            </w:r>
          </w:p>
        </w:tc>
        <w:tc>
          <w:tcPr>
            <w:tcW w:w="1365" w:type="dxa"/>
            <w:tcBorders>
              <w:bottom w:val="single" w:color="auto" w:sz="4" w:space="0"/>
            </w:tcBorders>
            <w:vAlign w:val="center"/>
          </w:tcPr>
          <w:p>
            <w:pPr>
              <w:pStyle w:val="80"/>
              <w:pBdr>
                <w:bottom w:val="none" w:color="auto" w:sz="0" w:space="0"/>
              </w:pBdr>
              <w:tabs>
                <w:tab w:val="clear" w:pos="4153"/>
                <w:tab w:val="clear" w:pos="8306"/>
              </w:tabs>
              <w:adjustRightInd/>
              <w:spacing w:line="400" w:lineRule="exact"/>
              <w:textAlignment w:val="auto"/>
              <w:rPr>
                <w:rFonts w:ascii="仿宋" w:hAnsi="仿宋" w:eastAsia="仿宋" w:cs="仿宋"/>
                <w:bCs/>
                <w:kern w:val="2"/>
                <w:sz w:val="28"/>
                <w:szCs w:val="28"/>
              </w:rPr>
            </w:pPr>
          </w:p>
        </w:tc>
        <w:tc>
          <w:tcPr>
            <w:tcW w:w="3585" w:type="dxa"/>
            <w:tcBorders>
              <w:bottom w:val="single" w:color="auto" w:sz="4" w:space="0"/>
              <w:right w:val="single" w:color="auto" w:sz="12" w:space="0"/>
            </w:tcBorders>
            <w:vAlign w:val="center"/>
          </w:tcPr>
          <w:p>
            <w:pPr>
              <w:pStyle w:val="80"/>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第七章响应文件格式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83" w:hRule="atLeast"/>
          <w:jc w:val="center"/>
        </w:trPr>
        <w:tc>
          <w:tcPr>
            <w:tcW w:w="9747" w:type="dxa"/>
            <w:gridSpan w:val="5"/>
            <w:tcBorders>
              <w:left w:val="single" w:color="auto" w:sz="12" w:space="0"/>
              <w:bottom w:val="single" w:color="auto" w:sz="4" w:space="0"/>
              <w:right w:val="single" w:color="auto" w:sz="12" w:space="0"/>
            </w:tcBorders>
            <w:vAlign w:val="center"/>
          </w:tcPr>
          <w:p>
            <w:pPr>
              <w:pStyle w:val="80"/>
              <w:pBdr>
                <w:bottom w:val="none" w:color="auto" w:sz="0" w:space="0"/>
              </w:pBdr>
              <w:tabs>
                <w:tab w:val="clear" w:pos="4153"/>
                <w:tab w:val="clear" w:pos="8306"/>
              </w:tabs>
              <w:adjustRightInd/>
              <w:spacing w:line="400" w:lineRule="exact"/>
              <w:jc w:val="left"/>
              <w:textAlignment w:val="auto"/>
              <w:rPr>
                <w:rFonts w:ascii="仿宋" w:hAnsi="仿宋" w:eastAsia="仿宋" w:cs="仿宋"/>
                <w:bCs/>
                <w:kern w:val="2"/>
                <w:sz w:val="28"/>
                <w:szCs w:val="28"/>
              </w:rPr>
            </w:pPr>
            <w:r>
              <w:rPr>
                <w:rFonts w:hint="eastAsia" w:ascii="仿宋" w:hAnsi="仿宋" w:eastAsia="仿宋" w:cs="仿宋"/>
                <w:bCs/>
                <w:kern w:val="2"/>
                <w:sz w:val="28"/>
                <w:szCs w:val="28"/>
              </w:rPr>
              <w:t>资格审查通过标准：供应商必须通过上述全部指标。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01" w:hRule="atLeast"/>
          <w:jc w:val="center"/>
        </w:trPr>
        <w:tc>
          <w:tcPr>
            <w:tcW w:w="9747" w:type="dxa"/>
            <w:gridSpan w:val="5"/>
            <w:tcBorders>
              <w:left w:val="single" w:color="auto" w:sz="12" w:space="0"/>
              <w:bottom w:val="single" w:color="auto" w:sz="12" w:space="0"/>
              <w:right w:val="single" w:color="auto" w:sz="12" w:space="0"/>
            </w:tcBorders>
            <w:vAlign w:val="center"/>
          </w:tcPr>
          <w:p>
            <w:pPr>
              <w:adjustRightInd w:val="0"/>
              <w:snapToGrid w:val="0"/>
              <w:spacing w:line="400" w:lineRule="exact"/>
              <w:ind w:right="-10"/>
              <w:rPr>
                <w:rFonts w:ascii="仿宋" w:hAnsi="仿宋" w:eastAsia="仿宋" w:cs="仿宋"/>
                <w:b/>
                <w:bCs/>
                <w:sz w:val="28"/>
                <w:szCs w:val="28"/>
              </w:rPr>
            </w:pPr>
            <w:r>
              <w:rPr>
                <w:rFonts w:hint="eastAsia" w:ascii="仿宋" w:hAnsi="仿宋" w:eastAsia="仿宋" w:cs="仿宋"/>
                <w:b/>
                <w:bCs/>
                <w:sz w:val="28"/>
                <w:szCs w:val="28"/>
              </w:rPr>
              <w:t>签字：</w:t>
            </w:r>
          </w:p>
          <w:p>
            <w:pPr>
              <w:adjustRightInd w:val="0"/>
              <w:snapToGrid w:val="0"/>
              <w:spacing w:line="400" w:lineRule="exact"/>
              <w:ind w:right="-10"/>
              <w:rPr>
                <w:rFonts w:ascii="仿宋" w:hAnsi="仿宋" w:eastAsia="仿宋" w:cs="仿宋"/>
                <w:sz w:val="28"/>
                <w:szCs w:val="28"/>
              </w:rPr>
            </w:pPr>
          </w:p>
        </w:tc>
      </w:tr>
    </w:tbl>
    <w:p>
      <w:pPr>
        <w:numPr>
          <w:ilvl w:val="0"/>
          <w:numId w:val="4"/>
        </w:numPr>
        <w:adjustRightInd w:val="0"/>
        <w:snapToGrid w:val="0"/>
        <w:spacing w:line="360" w:lineRule="auto"/>
        <w:ind w:right="-10"/>
        <w:rPr>
          <w:rFonts w:ascii="仿宋" w:hAnsi="仿宋" w:eastAsia="仿宋" w:cs="仿宋"/>
          <w:b/>
          <w:bCs/>
          <w:sz w:val="28"/>
          <w:szCs w:val="28"/>
        </w:rPr>
      </w:pPr>
      <w:r>
        <w:rPr>
          <w:rFonts w:hint="eastAsia" w:ascii="仿宋" w:hAnsi="仿宋" w:eastAsia="仿宋" w:cs="仿宋"/>
          <w:b/>
          <w:bCs/>
          <w:sz w:val="28"/>
          <w:szCs w:val="28"/>
        </w:rPr>
        <w:t>对响应文件进行详细审查。评审小组只对通过资格审查的，实质上响应发包文件要求的响应文件按照下述指标表进行详细审查。</w:t>
      </w:r>
    </w:p>
    <w:p>
      <w:pPr>
        <w:numPr>
          <w:ilvl w:val="0"/>
          <w:numId w:val="4"/>
        </w:numPr>
        <w:adjustRightInd w:val="0"/>
        <w:snapToGrid w:val="0"/>
        <w:spacing w:line="360" w:lineRule="auto"/>
        <w:ind w:right="-10"/>
        <w:rPr>
          <w:rFonts w:ascii="仿宋" w:hAnsi="仿宋" w:eastAsia="仿宋" w:cs="仿宋"/>
          <w:b/>
          <w:bCs/>
          <w:sz w:val="28"/>
          <w:szCs w:val="28"/>
        </w:rPr>
      </w:pPr>
      <w:r>
        <w:rPr>
          <w:rFonts w:hint="eastAsia" w:ascii="仿宋" w:hAnsi="仿宋" w:eastAsia="仿宋" w:cs="仿宋"/>
          <w:b/>
          <w:bCs/>
          <w:sz w:val="28"/>
          <w:szCs w:val="28"/>
        </w:rPr>
        <w:t>评审细则：</w:t>
      </w:r>
    </w:p>
    <w:tbl>
      <w:tblPr>
        <w:tblStyle w:val="40"/>
        <w:tblW w:w="5949" w:type="pct"/>
        <w:tblInd w:w="-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514"/>
        <w:gridCol w:w="5522"/>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8" w:type="pct"/>
            <w:tcBorders>
              <w:top w:val="single" w:color="auto" w:sz="12" w:space="0"/>
              <w:left w:val="single" w:color="auto" w:sz="12" w:space="0"/>
            </w:tcBorders>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类别</w:t>
            </w:r>
          </w:p>
        </w:tc>
        <w:tc>
          <w:tcPr>
            <w:tcW w:w="780" w:type="pct"/>
            <w:tcBorders>
              <w:top w:val="single" w:color="auto" w:sz="12" w:space="0"/>
            </w:tcBorders>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评分内容</w:t>
            </w:r>
          </w:p>
        </w:tc>
        <w:tc>
          <w:tcPr>
            <w:tcW w:w="2845" w:type="pct"/>
            <w:tcBorders>
              <w:top w:val="single" w:color="auto" w:sz="12" w:space="0"/>
            </w:tcBorders>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评分标准</w:t>
            </w:r>
          </w:p>
        </w:tc>
        <w:tc>
          <w:tcPr>
            <w:tcW w:w="725" w:type="pct"/>
            <w:tcBorders>
              <w:top w:val="single" w:color="auto" w:sz="12" w:space="0"/>
              <w:right w:val="single" w:color="auto" w:sz="12" w:space="0"/>
            </w:tcBorders>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pct"/>
            <w:vMerge w:val="restart"/>
            <w:tcBorders>
              <w:left w:val="single" w:color="auto" w:sz="12" w:space="0"/>
            </w:tcBorders>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w:t>
            </w:r>
          </w:p>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资信分</w:t>
            </w:r>
          </w:p>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（70分）</w:t>
            </w:r>
          </w:p>
        </w:tc>
        <w:tc>
          <w:tcPr>
            <w:tcW w:w="780" w:type="pct"/>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所投产品技术参数及要求响应情况</w:t>
            </w:r>
          </w:p>
        </w:tc>
        <w:tc>
          <w:tcPr>
            <w:tcW w:w="2845" w:type="pct"/>
            <w:shd w:val="clear" w:color="auto" w:fill="auto"/>
            <w:vAlign w:val="center"/>
          </w:tcPr>
          <w:p>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根据技术参数及要求的响应情况进行综合评分，所投产品全部参数完全满足或优于采购文件的，得基础分 40分： </w:t>
            </w:r>
          </w:p>
          <w:p>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1、如所投产品技术参数不满足采购文件中标注“★”的条款要求，每一项负偏离扣5分，扣完为止； </w:t>
            </w:r>
          </w:p>
          <w:p>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2、如所投产品技术参数不满足采购文件中未标注“★”的条款要求，每一项负偏离扣2分，扣完为止。 </w:t>
            </w:r>
          </w:p>
          <w:p>
            <w:pPr>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注：以投标响应表及货物需求中要求提供的证明材料作为评审依据。</w:t>
            </w:r>
          </w:p>
        </w:tc>
        <w:tc>
          <w:tcPr>
            <w:tcW w:w="725" w:type="pct"/>
            <w:tcBorders>
              <w:right w:val="single" w:color="auto" w:sz="12" w:space="0"/>
            </w:tcBorders>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pct"/>
            <w:vMerge w:val="continue"/>
            <w:tcBorders>
              <w:left w:val="single" w:color="auto" w:sz="12" w:space="0"/>
            </w:tcBorders>
            <w:shd w:val="clear" w:color="auto" w:fill="auto"/>
          </w:tcPr>
          <w:p>
            <w:pPr>
              <w:spacing w:line="360" w:lineRule="exact"/>
              <w:rPr>
                <w:rFonts w:hint="eastAsia" w:ascii="宋体" w:hAnsi="宋体" w:eastAsia="宋体" w:cs="宋体"/>
                <w:i w:val="0"/>
                <w:iCs w:val="0"/>
                <w:color w:val="000000"/>
                <w:kern w:val="0"/>
                <w:sz w:val="22"/>
                <w:szCs w:val="22"/>
                <w:u w:val="none"/>
                <w:lang w:val="en-US" w:eastAsia="zh-CN" w:bidi="ar"/>
              </w:rPr>
            </w:pPr>
          </w:p>
        </w:tc>
        <w:tc>
          <w:tcPr>
            <w:tcW w:w="780" w:type="pct"/>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核心产品技术特点</w:t>
            </w:r>
          </w:p>
        </w:tc>
        <w:tc>
          <w:tcPr>
            <w:tcW w:w="2845" w:type="pct"/>
            <w:shd w:val="clear" w:color="auto" w:fill="auto"/>
          </w:tcPr>
          <w:p>
            <w:pPr>
              <w:widowControl/>
              <w:spacing w:line="360" w:lineRule="exact"/>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1、所投65寸电视机生产企业获得IECQ有害物质过程管理证书，提供证书扫描件，满足得2分，不满足不得分。</w:t>
            </w:r>
          </w:p>
          <w:p>
            <w:pPr>
              <w:widowControl/>
              <w:spacing w:line="360" w:lineRule="exact"/>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2、所投65寸电视机产品质量，产品应具有节能、CCC认证、检测报告等证书，提供证书扫描件，满足一项得2分，总分6分，不满足不得分。</w:t>
            </w:r>
          </w:p>
          <w:p>
            <w:pPr>
              <w:widowControl/>
              <w:spacing w:line="360" w:lineRule="exact"/>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3、为保证所投投影机质量，产品应具有节能、环保、CCC认证、检测报告等证书，提供证书扫描件，满足一项得1分，总分4分，不满足不得分。</w:t>
            </w:r>
          </w:p>
          <w:p>
            <w:pPr>
              <w:widowControl/>
              <w:spacing w:line="360" w:lineRule="exact"/>
              <w:jc w:val="left"/>
              <w:rPr>
                <w:rFonts w:hint="default" w:ascii="宋体" w:hAnsi="宋体" w:eastAsia="宋体" w:cs="宋体"/>
                <w:i w:val="0"/>
                <w:iCs w:val="0"/>
                <w:color w:val="000000"/>
                <w:kern w:val="0"/>
                <w:sz w:val="22"/>
                <w:szCs w:val="22"/>
                <w:u w:val="none"/>
                <w:lang w:val="en-US" w:eastAsia="zh-CN" w:bidi="ar"/>
              </w:rPr>
            </w:pPr>
            <w:r>
              <w:rPr>
                <w:rStyle w:val="113"/>
                <w:rFonts w:hint="eastAsia"/>
                <w:b w:val="0"/>
                <w:bCs w:val="0"/>
                <w:lang w:val="en-US" w:eastAsia="zh-CN" w:bidi="ar"/>
              </w:rPr>
              <w:t>4、为确保扩音系统的专业及产品质量，保证正版软件和不产生知识产权纠纷，要求</w:t>
            </w:r>
            <w:r>
              <w:rPr>
                <w:rFonts w:hint="eastAsia" w:ascii="宋体" w:hAnsi="宋体" w:eastAsia="宋体" w:cs="宋体"/>
                <w:b w:val="0"/>
                <w:bCs w:val="0"/>
                <w:i w:val="0"/>
                <w:iCs w:val="0"/>
                <w:color w:val="000000"/>
                <w:kern w:val="0"/>
                <w:sz w:val="22"/>
                <w:szCs w:val="22"/>
                <w:u w:val="none"/>
                <w:lang w:val="en-US" w:eastAsia="zh-CN" w:bidi="ar"/>
              </w:rPr>
              <w:t>所投</w:t>
            </w:r>
            <w:r>
              <w:rPr>
                <w:rStyle w:val="113"/>
                <w:rFonts w:hint="eastAsia"/>
                <w:b w:val="0"/>
                <w:bCs w:val="0"/>
                <w:lang w:val="en-US" w:eastAsia="zh-CN" w:bidi="ar"/>
              </w:rPr>
              <w:t>音箱</w:t>
            </w:r>
            <w:r>
              <w:rPr>
                <w:rFonts w:hint="eastAsia" w:ascii="宋体" w:hAnsi="宋体" w:eastAsia="宋体" w:cs="宋体"/>
                <w:b w:val="0"/>
                <w:bCs w:val="0"/>
                <w:i w:val="0"/>
                <w:iCs w:val="0"/>
                <w:color w:val="000000"/>
                <w:kern w:val="0"/>
                <w:sz w:val="22"/>
                <w:szCs w:val="22"/>
                <w:u w:val="none"/>
                <w:lang w:val="en-US" w:eastAsia="zh-CN" w:bidi="ar"/>
              </w:rPr>
              <w:t>的生产企业</w:t>
            </w:r>
            <w:r>
              <w:rPr>
                <w:rStyle w:val="113"/>
                <w:rFonts w:hint="eastAsia"/>
                <w:b w:val="0"/>
                <w:bCs w:val="0"/>
                <w:lang w:val="en-US" w:eastAsia="zh-CN" w:bidi="ar"/>
              </w:rPr>
              <w:t>提供国家版权局颁发的噪声</w:t>
            </w:r>
            <w:r>
              <w:rPr>
                <w:rStyle w:val="113"/>
                <w:rFonts w:hint="eastAsia"/>
                <w:lang w:val="en-US" w:eastAsia="zh-CN" w:bidi="ar"/>
              </w:rPr>
              <w:t>消除算法功能软件著作权证书，</w:t>
            </w:r>
            <w:r>
              <w:rPr>
                <w:rFonts w:hint="eastAsia" w:ascii="宋体" w:hAnsi="宋体" w:eastAsia="宋体" w:cs="宋体"/>
                <w:i w:val="0"/>
                <w:iCs w:val="0"/>
                <w:color w:val="000000"/>
                <w:kern w:val="0"/>
                <w:sz w:val="22"/>
                <w:szCs w:val="22"/>
                <w:u w:val="none"/>
                <w:lang w:val="en-US" w:eastAsia="zh-CN" w:bidi="ar"/>
              </w:rPr>
              <w:t>提供证书扫描件</w:t>
            </w:r>
            <w:r>
              <w:rPr>
                <w:rStyle w:val="113"/>
                <w:rFonts w:hint="eastAsia"/>
                <w:lang w:val="en-US" w:eastAsia="zh-CN" w:bidi="ar"/>
              </w:rPr>
              <w:t>，</w:t>
            </w:r>
            <w:r>
              <w:rPr>
                <w:rFonts w:hint="eastAsia" w:ascii="宋体" w:hAnsi="宋体" w:eastAsia="宋体" w:cs="宋体"/>
                <w:i w:val="0"/>
                <w:iCs w:val="0"/>
                <w:color w:val="000000"/>
                <w:kern w:val="0"/>
                <w:sz w:val="22"/>
                <w:szCs w:val="22"/>
                <w:u w:val="none"/>
                <w:lang w:val="en-US" w:eastAsia="zh-CN" w:bidi="ar"/>
              </w:rPr>
              <w:t>满足得2分，不满足不得分。</w:t>
            </w:r>
          </w:p>
        </w:tc>
        <w:tc>
          <w:tcPr>
            <w:tcW w:w="725" w:type="pct"/>
            <w:tcBorders>
              <w:right w:val="single" w:color="auto" w:sz="12" w:space="0"/>
            </w:tcBorders>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48" w:type="pct"/>
            <w:vMerge w:val="continue"/>
            <w:tcBorders>
              <w:left w:val="single" w:color="auto" w:sz="12" w:space="0"/>
            </w:tcBorders>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p>
        </w:tc>
        <w:tc>
          <w:tcPr>
            <w:tcW w:w="780" w:type="pct"/>
            <w:shd w:val="clear" w:color="auto" w:fill="auto"/>
            <w:vAlign w:val="center"/>
          </w:tcPr>
          <w:p>
            <w:pPr>
              <w:widowControl/>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项目实施方案与技术措施</w:t>
            </w:r>
          </w:p>
        </w:tc>
        <w:tc>
          <w:tcPr>
            <w:tcW w:w="2845" w:type="pct"/>
            <w:shd w:val="clear" w:color="auto" w:fill="auto"/>
          </w:tcPr>
          <w:p>
            <w:pPr>
              <w:widowControl/>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由评标委员会根据投标人提供的项目施工方案与技术措施进行综合评审，内容包含但不限于现场实施方案、实施计划、工期管理、技术措施等：</w:t>
            </w:r>
          </w:p>
          <w:p>
            <w:pPr>
              <w:widowControl/>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1、项目实施方案合理完善，得4分； </w:t>
            </w:r>
          </w:p>
          <w:p>
            <w:pPr>
              <w:widowControl/>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2、项目实施方案比较合理完善，得2分； </w:t>
            </w:r>
          </w:p>
          <w:p>
            <w:pPr>
              <w:widowControl/>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3、能够提供项目实施方案，但方案内容需进一步完善的，得1分。 </w:t>
            </w:r>
          </w:p>
          <w:p>
            <w:pPr>
              <w:widowControl/>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4、差或未提供的不得分。</w:t>
            </w:r>
          </w:p>
        </w:tc>
        <w:tc>
          <w:tcPr>
            <w:tcW w:w="725" w:type="pct"/>
            <w:tcBorders>
              <w:right w:val="single" w:color="auto" w:sz="12" w:space="0"/>
            </w:tcBorders>
            <w:shd w:val="clear" w:color="auto" w:fill="auto"/>
            <w:vAlign w:val="center"/>
          </w:tcPr>
          <w:p>
            <w:pPr>
              <w:widowControl/>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8" w:type="pct"/>
            <w:vMerge w:val="continue"/>
            <w:tcBorders>
              <w:left w:val="single" w:color="auto" w:sz="12" w:space="0"/>
            </w:tcBorders>
            <w:shd w:val="clear" w:color="auto" w:fill="auto"/>
          </w:tcPr>
          <w:p>
            <w:pPr>
              <w:spacing w:line="360" w:lineRule="exact"/>
              <w:rPr>
                <w:rFonts w:hint="eastAsia" w:ascii="宋体" w:hAnsi="宋体" w:eastAsia="宋体" w:cs="宋体"/>
                <w:i w:val="0"/>
                <w:iCs w:val="0"/>
                <w:color w:val="000000"/>
                <w:kern w:val="0"/>
                <w:sz w:val="22"/>
                <w:szCs w:val="22"/>
                <w:u w:val="none"/>
                <w:lang w:val="en-US" w:eastAsia="zh-CN" w:bidi="ar"/>
              </w:rPr>
            </w:pPr>
          </w:p>
        </w:tc>
        <w:tc>
          <w:tcPr>
            <w:tcW w:w="780" w:type="pct"/>
            <w:vMerge w:val="restart"/>
            <w:shd w:val="clear" w:color="auto" w:fill="auto"/>
            <w:vAlign w:val="center"/>
          </w:tcPr>
          <w:p>
            <w:pPr>
              <w:widowControl/>
              <w:spacing w:line="360" w:lineRule="exact"/>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售后服务及厂家授权</w:t>
            </w:r>
          </w:p>
        </w:tc>
        <w:tc>
          <w:tcPr>
            <w:tcW w:w="2845" w:type="pct"/>
            <w:shd w:val="clear" w:color="auto" w:fill="auto"/>
          </w:tcPr>
          <w:p>
            <w:pPr>
              <w:widowControl/>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投标供应商对本项目的售后服务与维保方案，根据方案的完备性、合理性、服务响应时间以及培训指导服务等方面由评标委员会按0-4分进行综合评审，差或未提供的不得分。</w:t>
            </w:r>
          </w:p>
        </w:tc>
        <w:tc>
          <w:tcPr>
            <w:tcW w:w="725" w:type="pct"/>
            <w:tcBorders>
              <w:right w:val="single" w:color="auto" w:sz="12" w:space="0"/>
            </w:tcBorders>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8" w:type="pct"/>
            <w:vMerge w:val="continue"/>
            <w:tcBorders>
              <w:left w:val="single" w:color="auto" w:sz="12" w:space="0"/>
            </w:tcBorders>
            <w:shd w:val="clear" w:color="auto" w:fill="auto"/>
          </w:tcPr>
          <w:p>
            <w:pPr>
              <w:spacing w:line="360" w:lineRule="exact"/>
              <w:rPr>
                <w:rFonts w:hint="eastAsia" w:ascii="宋体" w:hAnsi="宋体" w:eastAsia="宋体" w:cs="宋体"/>
                <w:i w:val="0"/>
                <w:iCs w:val="0"/>
                <w:color w:val="000000"/>
                <w:kern w:val="0"/>
                <w:sz w:val="22"/>
                <w:szCs w:val="22"/>
                <w:u w:val="none"/>
                <w:lang w:val="en-US" w:eastAsia="zh-CN" w:bidi="ar"/>
              </w:rPr>
            </w:pPr>
          </w:p>
        </w:tc>
        <w:tc>
          <w:tcPr>
            <w:tcW w:w="780" w:type="pct"/>
            <w:vMerge w:val="continue"/>
            <w:shd w:val="clear" w:color="auto" w:fill="auto"/>
            <w:vAlign w:val="center"/>
          </w:tcPr>
          <w:p>
            <w:pPr>
              <w:widowControl/>
              <w:spacing w:line="360" w:lineRule="exact"/>
              <w:jc w:val="center"/>
              <w:rPr>
                <w:rFonts w:hint="eastAsia" w:ascii="宋体" w:hAnsi="宋体" w:eastAsia="宋体" w:cs="宋体"/>
                <w:i w:val="0"/>
                <w:iCs w:val="0"/>
                <w:color w:val="000000"/>
                <w:kern w:val="0"/>
                <w:sz w:val="22"/>
                <w:szCs w:val="22"/>
                <w:u w:val="none"/>
                <w:lang w:val="en-US" w:eastAsia="zh-CN" w:bidi="ar"/>
              </w:rPr>
            </w:pPr>
          </w:p>
        </w:tc>
        <w:tc>
          <w:tcPr>
            <w:tcW w:w="2845" w:type="pct"/>
            <w:shd w:val="clear" w:color="auto" w:fill="auto"/>
          </w:tcPr>
          <w:p>
            <w:pPr>
              <w:widowControl/>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1、投标供应商提供65寸电视机生产厂家针对本项目出具的授权书和售后服务承诺函，符合要求2分，未提供或提供不全不得分。</w:t>
            </w:r>
          </w:p>
          <w:p>
            <w:pPr>
              <w:widowControl/>
              <w:spacing w:line="36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2、投标供应商提供音箱生产厂家针对本项目出具的授权书和售后服务承诺函，符合要求2分，未提供或提供不全不得分。</w:t>
            </w:r>
          </w:p>
          <w:p>
            <w:pPr>
              <w:widowControl/>
              <w:spacing w:line="360" w:lineRule="exact"/>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3、投标供应商提供投影机生产厂家针对本项目出具的授权书和售后服务承诺函，符合要求2分，未提供或提供不全不得分。</w:t>
            </w:r>
          </w:p>
        </w:tc>
        <w:tc>
          <w:tcPr>
            <w:tcW w:w="725" w:type="pct"/>
            <w:tcBorders>
              <w:right w:val="single" w:color="auto" w:sz="12" w:space="0"/>
            </w:tcBorders>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8" w:type="pct"/>
            <w:vMerge w:val="continue"/>
            <w:tcBorders>
              <w:left w:val="single" w:color="auto" w:sz="12" w:space="0"/>
            </w:tcBorders>
            <w:shd w:val="clear" w:color="auto" w:fill="auto"/>
          </w:tcPr>
          <w:p>
            <w:pPr>
              <w:spacing w:line="360" w:lineRule="exact"/>
              <w:rPr>
                <w:rFonts w:hint="eastAsia" w:ascii="宋体" w:hAnsi="宋体" w:eastAsia="宋体" w:cs="宋体"/>
                <w:i w:val="0"/>
                <w:iCs w:val="0"/>
                <w:color w:val="000000"/>
                <w:kern w:val="0"/>
                <w:sz w:val="22"/>
                <w:szCs w:val="22"/>
                <w:u w:val="none"/>
                <w:lang w:val="en-US" w:eastAsia="zh-CN" w:bidi="ar"/>
              </w:rPr>
            </w:pPr>
          </w:p>
        </w:tc>
        <w:tc>
          <w:tcPr>
            <w:tcW w:w="780" w:type="pct"/>
            <w:shd w:val="clear" w:color="auto" w:fill="auto"/>
            <w:vAlign w:val="center"/>
          </w:tcPr>
          <w:p>
            <w:pPr>
              <w:widowControl/>
              <w:spacing w:line="360" w:lineRule="exact"/>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投标人业绩</w:t>
            </w:r>
          </w:p>
        </w:tc>
        <w:tc>
          <w:tcPr>
            <w:tcW w:w="2845" w:type="pct"/>
            <w:shd w:val="clear" w:color="auto" w:fill="auto"/>
          </w:tcPr>
          <w:p>
            <w:pPr>
              <w:widowControl/>
              <w:spacing w:line="360" w:lineRule="exact"/>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自2020年1月1日以来（以合同签订日期为准），投标人具有教室或功能室建设项目业绩，提供一份得2分，不提供不得分。</w:t>
            </w:r>
          </w:p>
        </w:tc>
        <w:tc>
          <w:tcPr>
            <w:tcW w:w="725" w:type="pct"/>
            <w:tcBorders>
              <w:right w:val="single" w:color="auto" w:sz="12" w:space="0"/>
            </w:tcBorders>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8" w:type="pct"/>
            <w:tcBorders>
              <w:left w:val="single" w:color="auto" w:sz="12" w:space="0"/>
              <w:bottom w:val="single" w:color="auto" w:sz="12" w:space="0"/>
            </w:tcBorders>
            <w:shd w:val="clear" w:color="auto" w:fill="auto"/>
            <w:vAlign w:val="center"/>
          </w:tcPr>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价格分</w:t>
            </w:r>
          </w:p>
          <w:p>
            <w:pPr>
              <w:spacing w:line="36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（30分）</w:t>
            </w:r>
          </w:p>
        </w:tc>
        <w:tc>
          <w:tcPr>
            <w:tcW w:w="4351" w:type="pct"/>
            <w:gridSpan w:val="3"/>
            <w:tcBorders>
              <w:bottom w:val="single" w:color="auto" w:sz="12" w:space="0"/>
              <w:right w:val="single" w:color="auto" w:sz="12" w:space="0"/>
            </w:tcBorders>
            <w:shd w:val="clear" w:color="auto" w:fill="auto"/>
            <w:vAlign w:val="center"/>
          </w:tcPr>
          <w:p>
            <w:pPr>
              <w:widowControl/>
              <w:spacing w:line="360" w:lineRule="exac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价格分统一采用全体平均报价法，在所有有效投标报价中，去掉一个最高报价和一个最低报价后取算术平均值（若有效报价不超过五家（含五家）则直接取算术平均值），以平均值作为评标基准价。投标供应商的价格分统一按照下列公式计算：</w:t>
            </w:r>
          </w:p>
          <w:p>
            <w:pPr>
              <w:spacing w:line="360" w:lineRule="exac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投标报价得分＝（评标基准价/投标报价）×30％×100</w:t>
            </w:r>
          </w:p>
        </w:tc>
      </w:tr>
    </w:tbl>
    <w:p>
      <w:pPr>
        <w:adjustRightInd w:val="0"/>
        <w:snapToGrid w:val="0"/>
        <w:spacing w:line="360" w:lineRule="auto"/>
        <w:ind w:right="-11" w:firstLine="562" w:firstLineChars="200"/>
        <w:rPr>
          <w:rFonts w:ascii="仿宋" w:hAnsi="仿宋" w:eastAsia="仿宋" w:cs="仿宋"/>
          <w:b/>
          <w:bCs/>
          <w:sz w:val="28"/>
          <w:szCs w:val="28"/>
        </w:rPr>
      </w:pPr>
      <w:r>
        <w:rPr>
          <w:rFonts w:hint="eastAsia" w:ascii="仿宋" w:hAnsi="仿宋" w:eastAsia="仿宋" w:cs="仿宋"/>
          <w:b/>
          <w:bCs/>
          <w:sz w:val="28"/>
          <w:szCs w:val="28"/>
        </w:rPr>
        <w:t>备注：响应文件提供的业绩证明材料,成交后签订合同前报采购人核查，如发现弄虚作假</w:t>
      </w:r>
      <w:r>
        <w:rPr>
          <w:rFonts w:hint="eastAsia" w:ascii="仿宋" w:hAnsi="仿宋" w:eastAsia="仿宋" w:cs="仿宋"/>
          <w:b/>
          <w:bCs/>
          <w:sz w:val="28"/>
          <w:szCs w:val="28"/>
          <w:lang w:eastAsia="zh-CN"/>
        </w:rPr>
        <w:t>，将</w:t>
      </w:r>
      <w:r>
        <w:rPr>
          <w:rFonts w:hint="eastAsia" w:ascii="仿宋" w:hAnsi="仿宋" w:eastAsia="仿宋" w:cs="仿宋"/>
          <w:b/>
          <w:bCs/>
          <w:sz w:val="28"/>
          <w:szCs w:val="28"/>
        </w:rPr>
        <w:t>报有关部门列入不良行为。供应商编制响应文件时得分项所需材料布局清晰合理，并附评分索引表。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评分的汇总方法为：对某一供应商的所有指标项合计得分后，取各位评委评分之平均值，四舍五入保留至小数点后两位数，得到该供应商的综合得分。按照有效供应商综合得分由高到低依次排出成交供应商及成交候选供应商。</w:t>
      </w:r>
    </w:p>
    <w:p>
      <w:pPr>
        <w:adjustRightInd w:val="0"/>
        <w:snapToGrid w:val="0"/>
        <w:spacing w:line="360" w:lineRule="auto"/>
        <w:ind w:right="-10" w:firstLine="562" w:firstLineChars="200"/>
        <w:rPr>
          <w:rFonts w:ascii="仿宋" w:hAnsi="仿宋" w:eastAsia="仿宋" w:cs="仿宋"/>
          <w:b/>
          <w:sz w:val="28"/>
          <w:szCs w:val="28"/>
        </w:rPr>
      </w:pPr>
      <w:r>
        <w:rPr>
          <w:rFonts w:hint="eastAsia" w:ascii="仿宋" w:hAnsi="仿宋" w:eastAsia="仿宋" w:cs="仿宋"/>
          <w:b/>
          <w:sz w:val="28"/>
          <w:szCs w:val="28"/>
        </w:rPr>
        <w:t xml:space="preserve">第十条 </w:t>
      </w:r>
      <w:r>
        <w:rPr>
          <w:rFonts w:hint="eastAsia" w:ascii="仿宋" w:hAnsi="仿宋" w:eastAsia="仿宋" w:cs="仿宋"/>
          <w:sz w:val="28"/>
          <w:szCs w:val="28"/>
        </w:rPr>
        <w:t>各供应商的综合总得分分值一经得出，并核对无误后，任何人不得更改。</w:t>
      </w:r>
    </w:p>
    <w:p>
      <w:pPr>
        <w:pStyle w:val="17"/>
        <w:spacing w:line="360" w:lineRule="auto"/>
        <w:ind w:right="-11" w:firstLine="495"/>
        <w:rPr>
          <w:rFonts w:ascii="仿宋" w:hAnsi="仿宋" w:eastAsia="仿宋" w:cs="仿宋"/>
          <w:sz w:val="28"/>
          <w:szCs w:val="28"/>
        </w:rPr>
      </w:pPr>
      <w:r>
        <w:rPr>
          <w:rFonts w:hint="eastAsia" w:ascii="仿宋" w:hAnsi="仿宋" w:eastAsia="仿宋" w:cs="仿宋"/>
          <w:b/>
          <w:sz w:val="28"/>
          <w:szCs w:val="28"/>
        </w:rPr>
        <w:t xml:space="preserve">第十一条 </w:t>
      </w:r>
      <w:r>
        <w:rPr>
          <w:rFonts w:hint="eastAsia" w:ascii="仿宋" w:hAnsi="仿宋" w:eastAsia="仿宋" w:cs="仿宋"/>
          <w:sz w:val="28"/>
          <w:szCs w:val="28"/>
        </w:rPr>
        <w:t>评审小组将有效投标人按评审后综合得分由高到低顺序推荐成交候选供应商。得分相同的，采取随机抽取的方式确定成交候选供应商的排列顺序。</w:t>
      </w:r>
    </w:p>
    <w:p>
      <w:pPr>
        <w:adjustRightInd w:val="0"/>
        <w:snapToGrid w:val="0"/>
        <w:spacing w:line="360" w:lineRule="auto"/>
        <w:ind w:right="-11" w:firstLine="562" w:firstLineChars="200"/>
        <w:rPr>
          <w:rFonts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bCs/>
          <w:sz w:val="28"/>
          <w:szCs w:val="28"/>
        </w:rPr>
        <w:t>十二</w:t>
      </w:r>
      <w:r>
        <w:rPr>
          <w:rFonts w:hint="eastAsia" w:ascii="仿宋" w:hAnsi="仿宋" w:eastAsia="仿宋" w:cs="仿宋"/>
          <w:b/>
          <w:sz w:val="28"/>
          <w:szCs w:val="28"/>
        </w:rPr>
        <w:t xml:space="preserve">条 </w:t>
      </w:r>
      <w:r>
        <w:rPr>
          <w:rFonts w:hint="eastAsia" w:ascii="仿宋" w:hAnsi="仿宋" w:eastAsia="仿宋" w:cs="仿宋"/>
          <w:sz w:val="28"/>
          <w:szCs w:val="28"/>
        </w:rPr>
        <w:t>评审小组在评审过程中发现的问题，应当区别情形及时作出处理或者向采购人提出处理建议，并作书面记录。</w:t>
      </w:r>
    </w:p>
    <w:p>
      <w:pPr>
        <w:adjustRightInd w:val="0"/>
        <w:snapToGrid w:val="0"/>
        <w:spacing w:line="360" w:lineRule="auto"/>
        <w:ind w:right="-11" w:firstLine="562" w:firstLineChars="200"/>
        <w:rPr>
          <w:rFonts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bCs/>
          <w:sz w:val="28"/>
          <w:szCs w:val="28"/>
        </w:rPr>
        <w:t>十</w:t>
      </w:r>
      <w:r>
        <w:rPr>
          <w:rFonts w:hint="eastAsia" w:ascii="仿宋" w:hAnsi="仿宋" w:eastAsia="仿宋" w:cs="仿宋"/>
          <w:b/>
          <w:sz w:val="28"/>
          <w:szCs w:val="28"/>
        </w:rPr>
        <w:t xml:space="preserve">三条 </w:t>
      </w:r>
      <w:r>
        <w:rPr>
          <w:rFonts w:hint="eastAsia" w:ascii="仿宋" w:hAnsi="仿宋" w:eastAsia="仿宋" w:cs="仿宋"/>
          <w:sz w:val="28"/>
          <w:szCs w:val="28"/>
        </w:rPr>
        <w:t>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投标处理。</w:t>
      </w:r>
    </w:p>
    <w:p>
      <w:pPr>
        <w:adjustRightInd w:val="0"/>
        <w:snapToGrid w:val="0"/>
        <w:spacing w:line="360" w:lineRule="auto"/>
        <w:ind w:right="-11" w:firstLine="562" w:firstLineChars="200"/>
        <w:rPr>
          <w:rFonts w:ascii="仿宋" w:hAnsi="仿宋" w:eastAsia="仿宋" w:cs="仿宋"/>
          <w:sz w:val="28"/>
          <w:szCs w:val="28"/>
        </w:rPr>
      </w:pPr>
      <w:r>
        <w:rPr>
          <w:rFonts w:hint="eastAsia" w:ascii="仿宋" w:hAnsi="仿宋" w:eastAsia="仿宋" w:cs="仿宋"/>
          <w:b/>
          <w:bCs/>
          <w:sz w:val="28"/>
          <w:szCs w:val="28"/>
        </w:rPr>
        <w:t xml:space="preserve">第十四条 </w:t>
      </w:r>
      <w:r>
        <w:rPr>
          <w:rFonts w:hint="eastAsia" w:ascii="仿宋" w:hAnsi="仿宋" w:eastAsia="仿宋" w:cs="仿宋"/>
          <w:sz w:val="28"/>
          <w:szCs w:val="28"/>
        </w:rPr>
        <w:t>供应商有串通投标、弄虚作假、行贿等违法行为，评审小组有权否决其投标。</w:t>
      </w:r>
    </w:p>
    <w:p>
      <w:pPr>
        <w:adjustRightInd w:val="0"/>
        <w:snapToGrid w:val="0"/>
        <w:spacing w:line="360" w:lineRule="auto"/>
        <w:ind w:right="-10" w:firstLine="562" w:firstLineChars="200"/>
        <w:rPr>
          <w:rFonts w:ascii="仿宋" w:hAnsi="仿宋" w:eastAsia="仿宋" w:cs="仿宋"/>
          <w:sz w:val="28"/>
          <w:szCs w:val="28"/>
        </w:rPr>
      </w:pPr>
      <w:r>
        <w:rPr>
          <w:rFonts w:hint="eastAsia" w:ascii="仿宋" w:hAnsi="仿宋" w:eastAsia="仿宋" w:cs="仿宋"/>
          <w:b/>
          <w:bCs/>
          <w:sz w:val="28"/>
          <w:szCs w:val="28"/>
        </w:rPr>
        <w:t xml:space="preserve">第十五条 </w:t>
      </w:r>
      <w:r>
        <w:rPr>
          <w:rFonts w:hint="eastAsia" w:ascii="仿宋" w:hAnsi="仿宋" w:eastAsia="仿宋" w:cs="仿宋"/>
          <w:sz w:val="28"/>
          <w:szCs w:val="28"/>
        </w:rPr>
        <w:t>评审后，评审小组应编写评审报告并签字。评审报告是评审小组根据全体评审成员签字的原始评审记录和评审结果编写的报告，评审小组全体成员及监督员均须在评审报告上签字。评审报告应如实记录本次评审的主要过程，全面反映评审过程中的各种不同的意见，以及其他澄清、说明、补正事项。</w:t>
      </w:r>
    </w:p>
    <w:p>
      <w:pPr>
        <w:adjustRightInd w:val="0"/>
        <w:snapToGrid w:val="0"/>
        <w:spacing w:line="360" w:lineRule="auto"/>
        <w:ind w:right="-11" w:firstLine="562" w:firstLineChars="200"/>
        <w:rPr>
          <w:rFonts w:hint="eastAsia" w:ascii="仿宋" w:hAnsi="仿宋" w:eastAsia="仿宋" w:cs="仿宋"/>
          <w:sz w:val="28"/>
          <w:szCs w:val="28"/>
        </w:rPr>
      </w:pPr>
      <w:r>
        <w:rPr>
          <w:rFonts w:hint="eastAsia" w:ascii="仿宋" w:hAnsi="仿宋" w:eastAsia="仿宋" w:cs="仿宋"/>
          <w:b/>
          <w:sz w:val="28"/>
          <w:szCs w:val="28"/>
        </w:rPr>
        <w:t>第十六条</w:t>
      </w:r>
      <w:r>
        <w:rPr>
          <w:rFonts w:hint="eastAsia" w:ascii="仿宋" w:hAnsi="仿宋" w:eastAsia="仿宋" w:cs="仿宋"/>
          <w:sz w:val="28"/>
          <w:szCs w:val="28"/>
        </w:rPr>
        <w:t xml:space="preserve"> 评审小组成员应当在评审报告上签字，对自己的评审意见承担法律责任。对评审报告有异议的，应当在评审报告上签署不同意见，并说明理由，否则视为同意评审报告。</w:t>
      </w: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adjustRightInd w:val="0"/>
        <w:snapToGrid w:val="0"/>
        <w:spacing w:line="360" w:lineRule="auto"/>
        <w:ind w:right="-10"/>
        <w:jc w:val="center"/>
        <w:rPr>
          <w:rFonts w:ascii="仿宋" w:hAnsi="仿宋" w:eastAsia="仿宋" w:cs="仿宋"/>
          <w:sz w:val="28"/>
          <w:szCs w:val="28"/>
        </w:rPr>
      </w:pPr>
      <w:r>
        <w:rPr>
          <w:rFonts w:hint="eastAsia" w:ascii="仿宋" w:hAnsi="仿宋" w:eastAsia="仿宋" w:cs="仿宋"/>
          <w:b/>
          <w:sz w:val="28"/>
          <w:szCs w:val="28"/>
        </w:rPr>
        <w:t>三、评审纪律</w:t>
      </w:r>
    </w:p>
    <w:p>
      <w:pPr>
        <w:adjustRightInd w:val="0"/>
        <w:snapToGrid w:val="0"/>
        <w:spacing w:line="360" w:lineRule="auto"/>
        <w:ind w:right="-11" w:firstLine="562" w:firstLineChars="200"/>
        <w:rPr>
          <w:rFonts w:ascii="仿宋" w:hAnsi="仿宋" w:eastAsia="仿宋" w:cs="仿宋"/>
          <w:sz w:val="28"/>
          <w:szCs w:val="28"/>
        </w:rPr>
      </w:pPr>
      <w:r>
        <w:rPr>
          <w:rFonts w:hint="eastAsia" w:ascii="仿宋" w:hAnsi="仿宋" w:eastAsia="仿宋" w:cs="仿宋"/>
          <w:b/>
          <w:sz w:val="28"/>
          <w:szCs w:val="28"/>
        </w:rPr>
        <w:t>第十七条</w:t>
      </w:r>
      <w:r>
        <w:rPr>
          <w:rFonts w:hint="eastAsia" w:ascii="仿宋" w:hAnsi="仿宋" w:eastAsia="仿宋" w:cs="仿宋"/>
          <w:sz w:val="28"/>
          <w:szCs w:val="28"/>
        </w:rPr>
        <w:t xml:space="preserve"> 评审小组和评审工作人员应严格遵守国家的法律、法规和规章制度；严格按照本次发包文件进行评审；公正廉洁、不徇私情，不得损害国家利益；保护采购人、供应商的合法权益。</w:t>
      </w:r>
    </w:p>
    <w:p>
      <w:pPr>
        <w:adjustRightInd w:val="0"/>
        <w:snapToGrid w:val="0"/>
        <w:spacing w:line="360" w:lineRule="auto"/>
        <w:ind w:right="-11" w:firstLine="562" w:firstLineChars="200"/>
        <w:rPr>
          <w:rFonts w:ascii="仿宋" w:hAnsi="仿宋" w:eastAsia="仿宋" w:cs="仿宋"/>
          <w:sz w:val="28"/>
          <w:szCs w:val="28"/>
        </w:rPr>
      </w:pPr>
      <w:r>
        <w:rPr>
          <w:rFonts w:hint="eastAsia" w:ascii="仿宋" w:hAnsi="仿宋" w:eastAsia="仿宋" w:cs="仿宋"/>
          <w:b/>
          <w:sz w:val="28"/>
          <w:szCs w:val="28"/>
        </w:rPr>
        <w:t>第十八条</w:t>
      </w:r>
      <w:r>
        <w:rPr>
          <w:rFonts w:hint="eastAsia" w:ascii="仿宋" w:hAnsi="仿宋" w:eastAsia="仿宋" w:cs="仿宋"/>
          <w:sz w:val="28"/>
          <w:szCs w:val="28"/>
        </w:rPr>
        <w:t xml:space="preserve"> 在评审过程中，评委及其他评审工作人员必须对评审情况严格保密，任何人不得将评审情况透露给与供应商有关的单位和个人。如有违反评审纪律的情况发生，将依据有关法律法规的规定，追究有关当事人的责任。</w:t>
      </w:r>
    </w:p>
    <w:p>
      <w:pPr>
        <w:pStyle w:val="5"/>
        <w:numPr>
          <w:ilvl w:val="255"/>
          <w:numId w:val="0"/>
        </w:numPr>
        <w:spacing w:beforeLines="50" w:afterLines="50" w:line="520" w:lineRule="exact"/>
        <w:jc w:val="center"/>
        <w:rPr>
          <w:rFonts w:ascii="黑体" w:hAnsi="黑体" w:eastAsia="黑体" w:cs="黑体"/>
          <w:sz w:val="32"/>
          <w:szCs w:val="32"/>
        </w:rPr>
      </w:pPr>
      <w:bookmarkStart w:id="172" w:name="_Toc101101620"/>
      <w:bookmarkEnd w:id="172"/>
      <w:bookmarkStart w:id="173" w:name="_Toc101102119"/>
      <w:bookmarkEnd w:id="173"/>
      <w:bookmarkStart w:id="174" w:name="_Toc101101592"/>
      <w:bookmarkEnd w:id="174"/>
      <w:bookmarkStart w:id="175" w:name="_Toc101101885"/>
      <w:bookmarkEnd w:id="175"/>
      <w:bookmarkStart w:id="176" w:name="_Toc463733011"/>
      <w:bookmarkStart w:id="177" w:name="_Toc220232392"/>
      <w:bookmarkStart w:id="178" w:name="_Toc8951"/>
      <w:bookmarkStart w:id="179" w:name="_Toc101102120"/>
      <w:bookmarkStart w:id="180" w:name="_Toc30856"/>
      <w:bookmarkStart w:id="181" w:name="_Toc18000"/>
      <w:bookmarkStart w:id="182" w:name="_Toc18178"/>
      <w:bookmarkStart w:id="183" w:name="_Toc4061"/>
      <w:bookmarkStart w:id="184" w:name="_Toc2781"/>
      <w:bookmarkStart w:id="185" w:name="_Toc31986"/>
      <w:bookmarkStart w:id="186" w:name="_Toc18953"/>
      <w:bookmarkStart w:id="187" w:name="_Toc2625"/>
      <w:bookmarkStart w:id="188" w:name="_Toc9836"/>
      <w:r>
        <w:rPr>
          <w:rFonts w:hint="eastAsia" w:ascii="黑体" w:hAnsi="黑体" w:eastAsia="黑体" w:cs="黑体"/>
          <w:sz w:val="32"/>
          <w:szCs w:val="32"/>
        </w:rPr>
        <w:t xml:space="preserve">第五章 </w:t>
      </w:r>
      <w:r>
        <w:rPr>
          <w:rFonts w:ascii="黑体" w:hAnsi="黑体" w:eastAsia="黑体" w:cs="黑体"/>
          <w:sz w:val="32"/>
          <w:szCs w:val="32"/>
        </w:rPr>
        <w:t>合同</w:t>
      </w:r>
      <w:bookmarkEnd w:id="176"/>
      <w:bookmarkEnd w:id="177"/>
      <w:bookmarkEnd w:id="178"/>
      <w:bookmarkEnd w:id="179"/>
      <w:bookmarkEnd w:id="180"/>
      <w:bookmarkEnd w:id="181"/>
      <w:bookmarkEnd w:id="182"/>
      <w:bookmarkEnd w:id="183"/>
      <w:bookmarkEnd w:id="184"/>
      <w:bookmarkEnd w:id="185"/>
      <w:bookmarkEnd w:id="186"/>
      <w:bookmarkEnd w:id="187"/>
      <w:bookmarkEnd w:id="188"/>
    </w:p>
    <w:p>
      <w:pPr>
        <w:adjustRightInd w:val="0"/>
        <w:snapToGrid w:val="0"/>
        <w:spacing w:line="360" w:lineRule="auto"/>
        <w:ind w:right="-11" w:firstLine="560" w:firstLineChars="2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（成交后甲乙双方自拟）</w:t>
      </w:r>
    </w:p>
    <w:p>
      <w:pPr>
        <w:pStyle w:val="5"/>
        <w:numPr>
          <w:ilvl w:val="0"/>
          <w:numId w:val="5"/>
        </w:numPr>
        <w:spacing w:beforeLines="50" w:afterLines="50" w:line="520" w:lineRule="exact"/>
        <w:jc w:val="center"/>
        <w:rPr>
          <w:rFonts w:hint="eastAsia" w:ascii="黑体" w:hAnsi="黑体" w:eastAsia="黑体" w:cs="黑体"/>
          <w:sz w:val="32"/>
          <w:szCs w:val="32"/>
        </w:rPr>
      </w:pPr>
      <w:bookmarkStart w:id="189" w:name="_Toc1982"/>
      <w:bookmarkStart w:id="190" w:name="_Toc101102121"/>
      <w:bookmarkStart w:id="191" w:name="_Toc23780"/>
      <w:bookmarkStart w:id="192" w:name="_Toc20320"/>
      <w:bookmarkStart w:id="193" w:name="_Toc27140"/>
      <w:bookmarkStart w:id="194" w:name="_Toc15436"/>
      <w:bookmarkStart w:id="195" w:name="_Toc11468"/>
      <w:bookmarkStart w:id="196" w:name="_Toc20743"/>
      <w:bookmarkStart w:id="197" w:name="_Toc25290"/>
      <w:bookmarkStart w:id="198" w:name="_Toc22731"/>
      <w:bookmarkStart w:id="199" w:name="_Toc24024"/>
      <w:r>
        <w:rPr>
          <w:rFonts w:hint="eastAsia" w:ascii="黑体" w:hAnsi="黑体" w:eastAsia="黑体" w:cs="黑体"/>
          <w:sz w:val="32"/>
          <w:szCs w:val="32"/>
        </w:rPr>
        <w:t>采购需求</w:t>
      </w:r>
      <w:bookmarkEnd w:id="189"/>
      <w:bookmarkEnd w:id="190"/>
      <w:bookmarkEnd w:id="191"/>
      <w:bookmarkEnd w:id="192"/>
      <w:bookmarkEnd w:id="193"/>
      <w:bookmarkEnd w:id="194"/>
      <w:bookmarkEnd w:id="195"/>
      <w:bookmarkEnd w:id="196"/>
      <w:bookmarkEnd w:id="197"/>
      <w:bookmarkEnd w:id="198"/>
      <w:bookmarkEnd w:id="199"/>
    </w:p>
    <w:tbl>
      <w:tblPr>
        <w:tblStyle w:val="40"/>
        <w:tblW w:w="5683" w:type="pct"/>
        <w:tblInd w:w="-3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004"/>
        <w:gridCol w:w="6023"/>
        <w:gridCol w:w="705"/>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40"/>
                <w:szCs w:val="4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路由器</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1、≥1个千兆WAN口+4个千兆 LAN口；</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2、≥1800M无线速率；内置AC功能，典型带机量≥500。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办公桌椅</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规格：1.6米*0.8米*0.75米</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全木结构，桌面采用50毫米厚E1级三聚氰胺板。优质五金配件，配三抽屉柜一个，配网布转椅一把。</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定制文件柜</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四门文件柜，全木结构，含玻璃门，长1.6米，高2米。款式尺寸根据现场定制。</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会议桌</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规格：1.5米*0.6米*0.75米，具体样式根据现场情况定制；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★1、桌面采用厚2.5cm的E1级三聚氰胺板，其他材料均采用1.8cmE1级三聚氰胺板。（投标文件中提供三聚氰胺浸渍胶膜纸饰面人造板检验报告扫描件，依据 GB/T15102-2017、GB/T39600-2021、GB18580-2017检测标准甲醛释放量≤0.020mg/m³）。</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★2、桌面采用1.2mm厚度 PVC 封边。（投标文件中提供第三方有权机构出具的PVC封边条检验报告扫描件，依据QB/T4463-2013检测标准，外观表面应无皱纹、裂纹，无明显的气泡、针孔、划痕等瑕疵，边缘应光滑平直，无缺损；理化性能耐干热性应无龟裂、无鼓泡，耐开裂性（耐龟裂性）≥3级，甲醛释放量≤0.1mg/L，氯乙烯单体≤0.5mg/kg，有害物质限量：邻苯二甲酸酯（DBP、BBP、DEHP、DNOP、DINP、和DIDP的总量）未检出；</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会议椅</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1、专业办公网布饰面，尼龙背架，40密度高弹力海绵。</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★2、提供高弹海绵抽样检验报告扫描件，报告内容包含：甲醛释放量≤0.04mg/m²h、挥发性有机物≤0.172mg/m²h；</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接待沙发</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沙发一张，约2.5米长，款式尺寸根据实际需求定制。</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带玻璃门，长约3.2米，高约2米，款式尺寸根据现场定制。</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投影机</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1、投影技术：3 LCD</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2、标准亮度：≥4100流明（根据ISO21118标准）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3、LCD尺寸：0.64英寸</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4、标准分辨率：1280×800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5、灯泡：≤225W  标准模式下灯泡寿命≥10000小时（节能模式下灯泡寿命≥15000小时）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6、对比度：≥16000：1</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7、光学变焦：1.2</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8、端口： D-SUB15针输入×1；D-SUB15针输入出×1；HDMI×2；RCA音频×1；RCA视频×1；音频输入3.5mm×1；音频输出3.5mm×1；控制串口RS232×1；A型USB×1，B型USB×1；RJ45×1。</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9、内置扬声器：≥16W</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10、功耗（标准）： ≤277W，最低待机功耗： ≤0.26W</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11、重量：≤3.1KG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★12、为保证液晶板寿命，液晶板的散热方式为冲突风冷技术</w:t>
            </w:r>
            <w:r>
              <w:rPr>
                <w:rFonts w:hint="eastAsia" w:ascii="宋体" w:hAnsi="宋体" w:eastAsia="宋体" w:cs="宋体"/>
                <w:b/>
                <w:bCs/>
                <w:i w:val="0"/>
                <w:iCs w:val="0"/>
                <w:color w:val="auto"/>
                <w:kern w:val="0"/>
                <w:sz w:val="22"/>
                <w:szCs w:val="22"/>
                <w:u w:val="none"/>
                <w:lang w:val="en-US" w:eastAsia="zh-CN" w:bidi="ar"/>
              </w:rPr>
              <w:t>（响应文件中提供产品彩页或官网截图）</w:t>
            </w:r>
            <w:r>
              <w:rPr>
                <w:rFonts w:hint="eastAsia" w:ascii="宋体" w:hAnsi="宋体" w:eastAsia="宋体" w:cs="宋体"/>
                <w:i w:val="0"/>
                <w:iCs w:val="0"/>
                <w:color w:val="auto"/>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13、采用无机液晶板材料，具有高抗光性和耐热性</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垂直和水平梯形校正范围±30度，支持桌面投影机时自动梯形校正、四点几何校正和枕形失真校正</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14、接通电源投影机自动开机的直接通电功能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15、正常待机模式下接入VGA或HDMI信号即可自动开机并投射影像</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16、具有U盘直读功能及自定义开机LOGO</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17、具有多种节能模式选择</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18、具有色温精准调校功能，在5000K-10500K之间按100K为单位调整</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19、内置白平衡颜色校正功能，基于RGB三色调整白场和黑场水平</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20、兼容4K30Hz超高清数字信号</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21、具备信号无缝切换功能，切换信号源时不会出现黑屏现象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22、内置三种颜色增强模式，通过提升颜色饱和度来改善影像质量</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22、满足DICOM标准要求，机身标识、遥控器及菜单为中文</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★23、内置9种壁色校正，可在不同颜色的墙面上直接投影</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密码防盗功能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★24、关机时二氧化碳减排提醒</w:t>
            </w:r>
            <w:r>
              <w:rPr>
                <w:rFonts w:hint="eastAsia" w:ascii="宋体" w:hAnsi="宋体" w:eastAsia="宋体" w:cs="宋体"/>
                <w:b/>
                <w:bCs/>
                <w:i w:val="0"/>
                <w:iCs w:val="0"/>
                <w:color w:val="auto"/>
                <w:kern w:val="0"/>
                <w:sz w:val="22"/>
                <w:szCs w:val="22"/>
                <w:u w:val="none"/>
                <w:lang w:val="en-US" w:eastAsia="zh-CN" w:bidi="ar"/>
              </w:rPr>
              <w:t>（响应文件中提供产品彩页）</w:t>
            </w:r>
            <w:r>
              <w:rPr>
                <w:rFonts w:hint="eastAsia" w:ascii="宋体" w:hAnsi="宋体" w:eastAsia="宋体" w:cs="宋体"/>
                <w:i w:val="0"/>
                <w:iCs w:val="0"/>
                <w:color w:val="auto"/>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通过RGB线连接可以在电脑上控制投影机（提供中文版软件）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★25、支持网络管理软件，可集中大规模管理投影机，设置任务，故障报警，查询信息等，提供中文版免费软件</w:t>
            </w:r>
            <w:r>
              <w:rPr>
                <w:rFonts w:hint="eastAsia" w:ascii="宋体" w:hAnsi="宋体" w:eastAsia="宋体" w:cs="宋体"/>
                <w:b/>
                <w:bCs/>
                <w:i w:val="0"/>
                <w:iCs w:val="0"/>
                <w:color w:val="auto"/>
                <w:kern w:val="0"/>
                <w:sz w:val="22"/>
                <w:szCs w:val="22"/>
                <w:u w:val="none"/>
                <w:lang w:val="en-US" w:eastAsia="zh-CN" w:bidi="ar"/>
              </w:rPr>
              <w:t>（响应文件中提供产品中文软件截图）</w:t>
            </w:r>
            <w:r>
              <w:rPr>
                <w:rFonts w:hint="eastAsia" w:ascii="宋体" w:hAnsi="宋体" w:eastAsia="宋体" w:cs="宋体"/>
                <w:i w:val="0"/>
                <w:iCs w:val="0"/>
                <w:color w:val="auto"/>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★26、具备无线投影，网络16画面显示及4位PIN码智能连接；</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★27、中标后签订合同前，需提供产品样机逐条功能演示。</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电动幕布</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100英寸16：9遥控白塑幕</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音箱</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3"/>
                <w:color w:val="auto"/>
                <w:lang w:val="en-US" w:eastAsia="zh-CN" w:bidi="ar"/>
              </w:rPr>
            </w:pPr>
            <w:r>
              <w:rPr>
                <w:rStyle w:val="113"/>
                <w:color w:val="auto"/>
                <w:lang w:val="en-US" w:eastAsia="zh-CN" w:bidi="ar"/>
              </w:rPr>
              <w:t>1.额定功率：50W；额定阻抗：4</w:t>
            </w:r>
            <w:r>
              <w:rPr>
                <w:rStyle w:val="74"/>
                <w:rFonts w:eastAsia="宋体"/>
                <w:color w:val="auto"/>
                <w:lang w:val="en-US" w:eastAsia="zh-CN" w:bidi="ar"/>
              </w:rPr>
              <w:t>Ω</w:t>
            </w:r>
            <w:r>
              <w:rPr>
                <w:rStyle w:val="113"/>
                <w:color w:val="auto"/>
                <w:lang w:val="en-US" w:eastAsia="zh-CN" w:bidi="ar"/>
              </w:rPr>
              <w:t xml:space="preserve">； </w:t>
            </w:r>
          </w:p>
          <w:p>
            <w:pPr>
              <w:keepNext w:val="0"/>
              <w:keepLines w:val="0"/>
              <w:widowControl/>
              <w:suppressLineNumbers w:val="0"/>
              <w:jc w:val="left"/>
              <w:textAlignment w:val="center"/>
              <w:rPr>
                <w:rStyle w:val="113"/>
                <w:color w:val="auto"/>
                <w:lang w:val="en-US" w:eastAsia="zh-CN" w:bidi="ar"/>
              </w:rPr>
            </w:pPr>
            <w:r>
              <w:rPr>
                <w:rStyle w:val="113"/>
                <w:color w:val="auto"/>
                <w:lang w:val="en-US" w:eastAsia="zh-CN" w:bidi="ar"/>
              </w:rPr>
              <w:t>2.频率响应：55Hz-18kHz；</w:t>
            </w:r>
          </w:p>
          <w:p>
            <w:pPr>
              <w:keepNext w:val="0"/>
              <w:keepLines w:val="0"/>
              <w:widowControl/>
              <w:suppressLineNumbers w:val="0"/>
              <w:jc w:val="left"/>
              <w:textAlignment w:val="center"/>
              <w:rPr>
                <w:rStyle w:val="113"/>
                <w:color w:val="auto"/>
                <w:lang w:val="en-US" w:eastAsia="zh-CN" w:bidi="ar"/>
              </w:rPr>
            </w:pPr>
            <w:r>
              <w:rPr>
                <w:rStyle w:val="113"/>
                <w:color w:val="auto"/>
                <w:lang w:val="en-US" w:eastAsia="zh-CN" w:bidi="ar"/>
              </w:rPr>
              <w:t>3.驱动器：1 个5.5 寸长冲程低音驱动器、1 个前纸盆高音；</w:t>
            </w:r>
          </w:p>
          <w:p>
            <w:pPr>
              <w:keepNext w:val="0"/>
              <w:keepLines w:val="0"/>
              <w:widowControl/>
              <w:suppressLineNumbers w:val="0"/>
              <w:jc w:val="left"/>
              <w:textAlignment w:val="center"/>
              <w:rPr>
                <w:rStyle w:val="113"/>
                <w:color w:val="auto"/>
                <w:lang w:val="en-US" w:eastAsia="zh-CN" w:bidi="ar"/>
              </w:rPr>
            </w:pPr>
            <w:r>
              <w:rPr>
                <w:rStyle w:val="113"/>
                <w:color w:val="auto"/>
                <w:lang w:val="en-US" w:eastAsia="zh-CN" w:bidi="ar"/>
              </w:rPr>
              <w:t>4.额定输入电平：话筒15mV（非平衡）；输入：1 路广播输入（70V－110V 输入），2 路立体声RCA 接口；</w:t>
            </w:r>
          </w:p>
          <w:p>
            <w:pPr>
              <w:keepNext w:val="0"/>
              <w:keepLines w:val="0"/>
              <w:widowControl/>
              <w:suppressLineNumbers w:val="0"/>
              <w:jc w:val="left"/>
              <w:textAlignment w:val="center"/>
              <w:rPr>
                <w:rStyle w:val="113"/>
                <w:color w:val="auto"/>
                <w:lang w:val="en-US" w:eastAsia="zh-CN" w:bidi="ar"/>
              </w:rPr>
            </w:pPr>
            <w:r>
              <w:rPr>
                <w:rStyle w:val="113"/>
                <w:color w:val="auto"/>
                <w:lang w:val="en-US" w:eastAsia="zh-CN" w:bidi="ar"/>
              </w:rPr>
              <w:t>5.灵敏度：85dB/1W/1M；</w:t>
            </w:r>
          </w:p>
          <w:p>
            <w:pPr>
              <w:keepNext w:val="0"/>
              <w:keepLines w:val="0"/>
              <w:widowControl/>
              <w:suppressLineNumbers w:val="0"/>
              <w:jc w:val="left"/>
              <w:textAlignment w:val="center"/>
              <w:rPr>
                <w:rStyle w:val="113"/>
                <w:color w:val="auto"/>
                <w:lang w:val="en-US" w:eastAsia="zh-CN" w:bidi="ar"/>
              </w:rPr>
            </w:pPr>
            <w:r>
              <w:rPr>
                <w:rStyle w:val="113"/>
                <w:color w:val="auto"/>
                <w:lang w:val="en-US" w:eastAsia="zh-CN" w:bidi="ar"/>
              </w:rPr>
              <w:t>6.信噪比：85dB；</w:t>
            </w:r>
          </w:p>
          <w:p>
            <w:pPr>
              <w:keepNext w:val="0"/>
              <w:keepLines w:val="0"/>
              <w:widowControl/>
              <w:suppressLineNumbers w:val="0"/>
              <w:jc w:val="left"/>
              <w:textAlignment w:val="center"/>
              <w:rPr>
                <w:rStyle w:val="113"/>
                <w:color w:val="auto"/>
                <w:lang w:val="en-US" w:eastAsia="zh-CN" w:bidi="ar"/>
              </w:rPr>
            </w:pPr>
            <w:r>
              <w:rPr>
                <w:rStyle w:val="113"/>
                <w:color w:val="auto"/>
                <w:lang w:val="en-US" w:eastAsia="zh-CN" w:bidi="ar"/>
              </w:rPr>
              <w:t>7.最大声压级：96dB；</w:t>
            </w:r>
          </w:p>
          <w:p>
            <w:pPr>
              <w:keepNext w:val="0"/>
              <w:keepLines w:val="0"/>
              <w:widowControl/>
              <w:suppressLineNumbers w:val="0"/>
              <w:jc w:val="left"/>
              <w:textAlignment w:val="center"/>
              <w:rPr>
                <w:rStyle w:val="113"/>
                <w:color w:val="auto"/>
                <w:lang w:val="en-US" w:eastAsia="zh-CN" w:bidi="ar"/>
              </w:rPr>
            </w:pPr>
            <w:r>
              <w:rPr>
                <w:rStyle w:val="113"/>
                <w:color w:val="auto"/>
                <w:lang w:val="en-US" w:eastAsia="zh-CN" w:bidi="ar"/>
              </w:rPr>
              <w:t>8.箱体型式：倒相式；</w:t>
            </w:r>
          </w:p>
          <w:p>
            <w:pPr>
              <w:keepNext w:val="0"/>
              <w:keepLines w:val="0"/>
              <w:widowControl/>
              <w:suppressLineNumbers w:val="0"/>
              <w:jc w:val="left"/>
              <w:textAlignment w:val="center"/>
              <w:rPr>
                <w:rStyle w:val="113"/>
                <w:color w:val="auto"/>
                <w:lang w:val="en-US" w:eastAsia="zh-CN" w:bidi="ar"/>
              </w:rPr>
            </w:pPr>
            <w:r>
              <w:rPr>
                <w:rStyle w:val="113"/>
                <w:color w:val="auto"/>
                <w:lang w:val="en-US" w:eastAsia="zh-CN" w:bidi="ar"/>
              </w:rPr>
              <w:t>9.箱体及外饰：高密度中纤板（黑色）箱体，棉网；</w:t>
            </w:r>
          </w:p>
          <w:p>
            <w:pPr>
              <w:keepNext w:val="0"/>
              <w:keepLines w:val="0"/>
              <w:widowControl/>
              <w:suppressLineNumbers w:val="0"/>
              <w:jc w:val="left"/>
              <w:textAlignment w:val="center"/>
              <w:rPr>
                <w:rStyle w:val="113"/>
                <w:rFonts w:hint="eastAsia"/>
                <w:color w:val="auto"/>
                <w:lang w:val="en-US" w:eastAsia="zh-CN" w:bidi="ar"/>
              </w:rPr>
            </w:pPr>
            <w:r>
              <w:rPr>
                <w:rStyle w:val="113"/>
                <w:color w:val="auto"/>
                <w:lang w:val="en-US" w:eastAsia="zh-CN" w:bidi="ar"/>
              </w:rPr>
              <w:t>10.安装：标配壁挂架</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65寸电视机</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1、4K超高清全面屏电视，屏占比达95%以上，分辨率3840*2160，屏幕尺寸：65</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2、背光方式：直下式LED</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3、亮度≥220nits,对比度≥1200：1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4、屏幕比例：16：9</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5、最大可视角度：≥178°</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★6、Android8.0智能操作系统（配置专用商用系统），4核高性能处理器，1.5GHz主频，2G DDR3主内存，内置16G大内存，内置无线wifi模块，支持802.11 b/g/n。</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★7、支持HDMI2.0*2、VGA*1、AV-in*1、分量*1、RJ45*1、同轴*1、RF*1（DTMB）、USB2.0*2、TF卡槽*1 、无源音响*1、RS232*1。</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8、支持HDR10高动态画质提升技术，可完美还原图像真实色彩。</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9、H.264/H.265高清视频处理技术，确保输出的画质高清晰。</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10、画质支持ME/MC运动补偿、场景屏变；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★11、支持HDMI ARC回传功能，支持HDMI CEC功能，可外接CEC协议设备反向控制电视开关机/音量调节。</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12、支持DTMB数字电视信号和DVB-C清流信号播放接收。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13、支持格式：音频格式：mp3|wav|midi|AAC|m4a|flac|ogg</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视频格式：avi|dat|mpeg|mpe|mpg|vob|m2ts|mp4|mov</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|mkv|ts|tp|mts|m4v|f4v|flv|wm|rmvb|rm|asf|3gp</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图片格式：png ，jpeg，bmp，gif</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14、电视节目频道存储量不少于256个，且可以自由根据需求进行频道设置或禁用。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★15、支持勿扰模式，在待机状态下指示灯熄灭，无视觉干扰。</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★16、支持替换开机画面、动画、视频；搭载第三方运用；支持远程控制开关机；支持第三方APK适配对接。</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★17、可一键设置信号源，可一键直达主页。</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★18、支持蓝牙4.2，带有无线网络记忆功能。手机投屏电视功能，可按需开/关闭投屏功能。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★19、支持多屏互动。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20、支持定时关机。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21、10W*2双2.0声道箱体喇叭，支持环绕声，支持全球TV伴音制式解码。</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22、三级或以上等级 【2021年8月之后，参照：国家标准《平板电视与机顶盒能效限定值及能效等级》（GB 24850-2020）】。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★23、待机功率：≤ 0.3W，节能环保。</w:t>
            </w:r>
          </w:p>
          <w:p>
            <w:pPr>
              <w:widowControl/>
              <w:spacing w:line="360" w:lineRule="exact"/>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★24、为保证产品的设计先进性，生产企业具有国家级工程研究中心（工程实验室），提供证书扫描件。</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冷藏柜</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容量：168L</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产品净重：38kg</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产品尺寸：长470mm；宽495mm；高1400mm</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电压：220V</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办公用品</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1、档案盒20个</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2、A4纸一包</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3、订书机一只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台球案套装</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含台球案一张，台球杆6根，台杆架1个，台球4副。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棋牌桌</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1米*1米，独脚方桌，一桌四椅，款式尺寸根据现场定制。</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模牌套装</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1、优质扑克牌，10副</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2、围棋，2副</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3、象棋，5副</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4、军棋，5副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键身套装</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1、臂力器2个</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2、拉力器2个</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3、跳绳5根</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4、呼啦圈10只</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5、毽子10只</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6、哑铃1套</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多功能训练器</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五人位，金属材质，可调节牧师凳</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跑步机</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1、跑带长度：137cm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2、最大速度：18.8KM/H</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3、机器净重：93kg</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4、额定功率：2HP</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5、峰值马力：4.5HP</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6、最大承重：150kg</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7、产品尺寸：长1.94m；宽0.9m；高1.41m</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动感单车</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1、机器净重：32kg</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2、产品尺寸：长125cm；宽51cm；高123cm</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电动按摩椅</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1、使用者最大体重：100kg</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2、按摩手法：推拿；仿人手揉捏；指压；拍打；拉伸</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3、特色功能：脚底滚轮；碳纤维加热；零重力</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4、按摩部位：头颈按摩；手臂按摩；脚底按摩；腰臀按摩；腿部按摩</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5、使用者最高身高：1.9m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6、气囊数量：32个</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7、产品净重：64kg</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8、额定电压：220V</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9、额定频率：50Hz</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10、额定功率：120W</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11、产品尺寸：长1456mm；宽740mm；高1110mm</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瑜伽套装</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包含瑜伽垫两张，瑜伽球一只.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茶水用品套装</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电水壶2个，热水瓶3个，立式饮水机1台，茶叶2斤，一次性纸杯2包</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休闲区沙发</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含单人位沙发两张，小茶几一张</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卫生区</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拖把3个，扫把簸箕1套，不锈钢带盖垃圾桶4个，毛巾10条，鞋套一批。</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花草绿植区</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1、含花盆花卉8盆,盆径180mm</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2、盆景、盆景台、花架款式根据需求定制</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全屋家具定制</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1、定制衣柜储物柜，5.36平方。</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2、定制鞋柜，2.15平方。</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3、定制茶水橱柜，1.1平方。</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4、荣誉墙隔板,2平方。</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5、阅读吧台，含6只高脚椅，4.6平方。</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定制镜面</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1.5厘米厚木工板打底，定制镜面，尺寸长6米，高2.2米，黑色拉丝不锈钢包边。</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文化墙</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含职工之家文化墙、荣誉墙、会议区磁吸白板、镜子两侧墙面文化设计定制。</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环境改造</w:t>
            </w:r>
          </w:p>
        </w:tc>
        <w:tc>
          <w:tcPr>
            <w:tcW w:w="3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本次项目的环境改造约150平米，基础要求如下：</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一、顶面装饰美化，拆除原房屋顶面灯具，改造成内嵌式方形平板灯,20盏,荣誉墙区域顶部增加一排射灯。</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二、地面采用厚度≥1.2cm优质耐磨强化木地板：</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三、墙面：1、墙面腻子：墙批灰及基层处理：批刮腻子二道，做阴阳角一道，砂纸打磨平整，如遇水泥毛坏墙顶面需刮白水泥或粉刷石膏，如遇砂灰墙需满贴玻璃纤维布</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2、墙面乳胶漆：专用双灰粉荡平，胶水、熟胶粉牛皮纸、环氧树脂防爆裂处理、批灰三遍，200瓦日光灯照明打磨两遍，砂纸240目，并根据效果图进行现场调色。</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3、墙裙采用木工板打底，表面使用环保木饰面，连接处采用卡条进行无缝处理。墙裙高度120mm。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四、踢脚线高度约80mm。基础踢脚线；</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五、装修材料归类、卫生清理、垃圾清运；</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六、装修效果图纸设计；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七、电箱、灯、开关面板、插座等更换，电路改造，找水平、弹线、吊丝杆，国标阻燃电线穿PVC管，插座不低于4平方线材，照明不低于2.5平方线材；满足活动室内合理用电需求。</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八、系统集成、设备安装调试及辅材辅料。</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r>
    </w:tbl>
    <w:p>
      <w:pPr>
        <w:autoSpaceDE w:val="0"/>
        <w:autoSpaceDN w:val="0"/>
        <w:jc w:val="left"/>
        <w:rPr>
          <w:rFonts w:ascii="仿宋" w:hAnsi="仿宋" w:eastAsia="仿宋" w:cs="仿宋"/>
          <w:kern w:val="0"/>
          <w:sz w:val="24"/>
          <w:szCs w:val="24"/>
          <w:lang w:val="zh-CN" w:bidi="zh-CN"/>
        </w:rPr>
      </w:pPr>
    </w:p>
    <w:p>
      <w:pPr>
        <w:pStyle w:val="28"/>
        <w:rPr>
          <w:rFonts w:ascii="仿宋" w:hAnsi="仿宋" w:eastAsia="仿宋" w:cs="仿宋"/>
          <w:kern w:val="0"/>
          <w:sz w:val="28"/>
          <w:szCs w:val="28"/>
          <w:lang w:val="zh-CN" w:bidi="zh-CN"/>
        </w:rPr>
      </w:pPr>
    </w:p>
    <w:p>
      <w:pPr>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pStyle w:val="112"/>
        <w:rPr>
          <w:rFonts w:ascii="仿宋" w:hAnsi="仿宋" w:eastAsia="仿宋" w:cs="仿宋"/>
          <w:kern w:val="0"/>
          <w:sz w:val="28"/>
          <w:szCs w:val="28"/>
          <w:lang w:val="zh-CN" w:bidi="zh-CN"/>
        </w:rPr>
      </w:pPr>
    </w:p>
    <w:p>
      <w:pPr>
        <w:rPr>
          <w:rFonts w:ascii="仿宋" w:hAnsi="仿宋" w:eastAsia="仿宋" w:cs="仿宋"/>
          <w:sz w:val="28"/>
          <w:szCs w:val="28"/>
          <w:lang w:val="zh-CN"/>
        </w:rPr>
      </w:pPr>
    </w:p>
    <w:p>
      <w:pPr>
        <w:pStyle w:val="5"/>
        <w:numPr>
          <w:ilvl w:val="255"/>
          <w:numId w:val="0"/>
        </w:numPr>
        <w:spacing w:beforeLines="50" w:afterLines="50" w:line="520" w:lineRule="exact"/>
        <w:jc w:val="center"/>
        <w:rPr>
          <w:rFonts w:ascii="黑体" w:hAnsi="黑体" w:eastAsia="黑体" w:cs="黑体"/>
          <w:sz w:val="32"/>
          <w:szCs w:val="32"/>
        </w:rPr>
      </w:pPr>
      <w:bookmarkStart w:id="200" w:name="_Toc5305"/>
      <w:bookmarkStart w:id="201" w:name="_Toc24094"/>
      <w:bookmarkStart w:id="202" w:name="_Toc1933"/>
      <w:bookmarkStart w:id="203" w:name="_Toc17179"/>
      <w:r>
        <w:rPr>
          <w:rFonts w:hint="eastAsia" w:ascii="黑体" w:hAnsi="黑体" w:eastAsia="黑体" w:cs="黑体"/>
          <w:sz w:val="32"/>
          <w:szCs w:val="32"/>
          <w:lang w:val="zh-CN"/>
        </w:rPr>
        <w:t>第七章</w:t>
      </w:r>
      <w:bookmarkEnd w:id="200"/>
      <w:bookmarkEnd w:id="201"/>
      <w:bookmarkEnd w:id="202"/>
      <w:r>
        <w:rPr>
          <w:rFonts w:hint="eastAsia" w:ascii="黑体" w:hAnsi="黑体" w:eastAsia="黑体" w:cs="黑体"/>
          <w:sz w:val="32"/>
          <w:szCs w:val="32"/>
        </w:rPr>
        <w:t xml:space="preserve"> </w:t>
      </w:r>
      <w:bookmarkStart w:id="204" w:name="_Toc10274"/>
      <w:bookmarkStart w:id="205" w:name="_Toc14721"/>
      <w:bookmarkStart w:id="206" w:name="_Toc24069"/>
      <w:bookmarkStart w:id="207" w:name="_Toc31206"/>
      <w:bookmarkStart w:id="208" w:name="_Toc25125"/>
      <w:bookmarkStart w:id="209" w:name="_Toc25412"/>
      <w:bookmarkStart w:id="210" w:name="_Toc83"/>
      <w:bookmarkStart w:id="211" w:name="_Toc29773"/>
      <w:bookmarkStart w:id="212" w:name="_Toc101102122"/>
      <w:bookmarkStart w:id="213" w:name="_Toc28108"/>
      <w:bookmarkStart w:id="214" w:name="_Toc457942816"/>
      <w:r>
        <w:rPr>
          <w:rFonts w:hint="eastAsia" w:ascii="黑体" w:hAnsi="黑体" w:eastAsia="黑体" w:cs="黑体"/>
          <w:sz w:val="32"/>
          <w:szCs w:val="32"/>
        </w:rPr>
        <w:t>响应文件格式</w:t>
      </w:r>
      <w:bookmarkEnd w:id="203"/>
      <w:bookmarkEnd w:id="204"/>
      <w:bookmarkEnd w:id="205"/>
      <w:bookmarkEnd w:id="206"/>
      <w:bookmarkEnd w:id="207"/>
      <w:bookmarkEnd w:id="208"/>
      <w:bookmarkEnd w:id="209"/>
      <w:bookmarkEnd w:id="210"/>
      <w:bookmarkEnd w:id="211"/>
      <w:bookmarkEnd w:id="212"/>
      <w:bookmarkEnd w:id="213"/>
      <w:bookmarkEnd w:id="214"/>
    </w:p>
    <w:p>
      <w:pPr>
        <w:spacing w:line="500" w:lineRule="exact"/>
        <w:jc w:val="center"/>
        <w:rPr>
          <w:rFonts w:ascii="仿宋" w:hAnsi="仿宋" w:eastAsia="仿宋" w:cs="仿宋"/>
          <w:b/>
          <w:sz w:val="28"/>
          <w:szCs w:val="28"/>
        </w:rPr>
      </w:pPr>
      <w:bookmarkStart w:id="215" w:name="_Hlt50174722"/>
      <w:bookmarkEnd w:id="215"/>
      <w:bookmarkStart w:id="216" w:name="_Hlt533408877"/>
      <w:bookmarkEnd w:id="216"/>
      <w:bookmarkStart w:id="217" w:name="_Hlt519045470"/>
      <w:bookmarkEnd w:id="217"/>
      <w:bookmarkStart w:id="218" w:name="_Hlt50174972"/>
      <w:bookmarkEnd w:id="218"/>
      <w:bookmarkStart w:id="219" w:name="_Hlt50174708"/>
      <w:bookmarkEnd w:id="219"/>
      <w:bookmarkStart w:id="220" w:name="_Hlt519068595"/>
      <w:bookmarkEnd w:id="220"/>
      <w:bookmarkStart w:id="221" w:name="_Hlt519045391"/>
      <w:bookmarkStart w:id="222" w:name="_Hlt509738521"/>
      <w:bookmarkStart w:id="223" w:name="_Hlt509738509"/>
    </w:p>
    <w:p>
      <w:pPr>
        <w:spacing w:line="500" w:lineRule="exact"/>
        <w:jc w:val="center"/>
        <w:rPr>
          <w:rFonts w:ascii="仿宋" w:hAnsi="仿宋" w:eastAsia="仿宋" w:cs="仿宋"/>
          <w:b/>
          <w:sz w:val="28"/>
          <w:szCs w:val="28"/>
        </w:rPr>
      </w:pPr>
    </w:p>
    <w:p>
      <w:pPr>
        <w:spacing w:line="500" w:lineRule="exact"/>
        <w:jc w:val="center"/>
        <w:rPr>
          <w:rFonts w:ascii="仿宋" w:hAnsi="仿宋" w:eastAsia="仿宋" w:cs="仿宋"/>
          <w:b/>
          <w:sz w:val="28"/>
          <w:szCs w:val="28"/>
        </w:rPr>
      </w:pPr>
      <w:r>
        <w:rPr>
          <w:rFonts w:hint="eastAsia" w:ascii="仿宋" w:hAnsi="仿宋" w:eastAsia="仿宋" w:cs="仿宋"/>
          <w:b/>
          <w:sz w:val="28"/>
          <w:szCs w:val="28"/>
        </w:rPr>
        <w:t>项目</w:t>
      </w:r>
    </w:p>
    <w:p>
      <w:pPr>
        <w:spacing w:line="900" w:lineRule="exact"/>
        <w:jc w:val="center"/>
        <w:rPr>
          <w:rFonts w:ascii="仿宋" w:hAnsi="仿宋" w:eastAsia="仿宋" w:cs="仿宋"/>
          <w:b/>
          <w:sz w:val="28"/>
          <w:szCs w:val="28"/>
        </w:rPr>
      </w:pPr>
    </w:p>
    <w:p>
      <w:pPr>
        <w:spacing w:line="900" w:lineRule="exact"/>
        <w:jc w:val="center"/>
        <w:rPr>
          <w:rFonts w:ascii="仿宋" w:hAnsi="仿宋" w:eastAsia="仿宋" w:cs="仿宋"/>
          <w:b/>
          <w:sz w:val="28"/>
          <w:szCs w:val="28"/>
        </w:rPr>
      </w:pPr>
      <w:r>
        <w:rPr>
          <w:rFonts w:hint="eastAsia" w:ascii="仿宋" w:hAnsi="仿宋" w:eastAsia="仿宋" w:cs="仿宋"/>
          <w:b/>
          <w:sz w:val="28"/>
          <w:szCs w:val="28"/>
        </w:rPr>
        <w:t>响</w:t>
      </w:r>
    </w:p>
    <w:p>
      <w:pPr>
        <w:spacing w:line="900" w:lineRule="exact"/>
        <w:jc w:val="center"/>
        <w:rPr>
          <w:rFonts w:ascii="仿宋" w:hAnsi="仿宋" w:eastAsia="仿宋" w:cs="仿宋"/>
          <w:b/>
          <w:sz w:val="28"/>
          <w:szCs w:val="28"/>
        </w:rPr>
      </w:pPr>
    </w:p>
    <w:p>
      <w:pPr>
        <w:spacing w:line="900" w:lineRule="exact"/>
        <w:jc w:val="center"/>
        <w:rPr>
          <w:rFonts w:ascii="仿宋" w:hAnsi="仿宋" w:eastAsia="仿宋" w:cs="仿宋"/>
          <w:b/>
          <w:sz w:val="28"/>
          <w:szCs w:val="28"/>
        </w:rPr>
      </w:pPr>
      <w:r>
        <w:rPr>
          <w:rFonts w:hint="eastAsia" w:ascii="仿宋" w:hAnsi="仿宋" w:eastAsia="仿宋" w:cs="仿宋"/>
          <w:b/>
          <w:sz w:val="28"/>
          <w:szCs w:val="28"/>
        </w:rPr>
        <w:t>应</w:t>
      </w:r>
    </w:p>
    <w:p>
      <w:pPr>
        <w:spacing w:line="900" w:lineRule="exact"/>
        <w:jc w:val="center"/>
        <w:rPr>
          <w:rFonts w:ascii="仿宋" w:hAnsi="仿宋" w:eastAsia="仿宋" w:cs="仿宋"/>
          <w:b/>
          <w:sz w:val="28"/>
          <w:szCs w:val="28"/>
        </w:rPr>
      </w:pPr>
    </w:p>
    <w:p>
      <w:pPr>
        <w:spacing w:line="900" w:lineRule="exact"/>
        <w:jc w:val="center"/>
        <w:rPr>
          <w:rFonts w:ascii="仿宋" w:hAnsi="仿宋" w:eastAsia="仿宋" w:cs="仿宋"/>
          <w:b/>
          <w:sz w:val="28"/>
          <w:szCs w:val="28"/>
        </w:rPr>
      </w:pPr>
      <w:r>
        <w:rPr>
          <w:rFonts w:hint="eastAsia" w:ascii="仿宋" w:hAnsi="仿宋" w:eastAsia="仿宋" w:cs="仿宋"/>
          <w:b/>
          <w:sz w:val="28"/>
          <w:szCs w:val="28"/>
        </w:rPr>
        <w:t>文</w:t>
      </w:r>
    </w:p>
    <w:p>
      <w:pPr>
        <w:spacing w:line="900" w:lineRule="exact"/>
        <w:jc w:val="center"/>
        <w:rPr>
          <w:rFonts w:ascii="仿宋" w:hAnsi="仿宋" w:eastAsia="仿宋" w:cs="仿宋"/>
          <w:b/>
          <w:sz w:val="28"/>
          <w:szCs w:val="28"/>
        </w:rPr>
      </w:pPr>
    </w:p>
    <w:p>
      <w:pPr>
        <w:jc w:val="center"/>
        <w:rPr>
          <w:rFonts w:ascii="仿宋" w:hAnsi="仿宋" w:eastAsia="仿宋" w:cs="仿宋"/>
          <w:b/>
          <w:sz w:val="28"/>
          <w:szCs w:val="28"/>
        </w:rPr>
      </w:pPr>
      <w:r>
        <w:rPr>
          <w:rFonts w:hint="eastAsia" w:ascii="仿宋" w:hAnsi="仿宋" w:eastAsia="仿宋" w:cs="仿宋"/>
          <w:b/>
          <w:sz w:val="28"/>
          <w:szCs w:val="28"/>
        </w:rPr>
        <w:t>件</w:t>
      </w:r>
    </w:p>
    <w:p>
      <w:pPr>
        <w:spacing w:afterLines="50"/>
        <w:jc w:val="center"/>
        <w:rPr>
          <w:rFonts w:ascii="仿宋" w:hAnsi="仿宋" w:eastAsia="仿宋" w:cs="仿宋"/>
          <w:b/>
          <w:sz w:val="28"/>
          <w:szCs w:val="28"/>
        </w:rPr>
      </w:pPr>
    </w:p>
    <w:p>
      <w:pPr>
        <w:spacing w:afterLines="50" w:line="500" w:lineRule="exact"/>
        <w:jc w:val="center"/>
        <w:rPr>
          <w:rFonts w:ascii="仿宋" w:hAnsi="仿宋" w:eastAsia="仿宋" w:cs="仿宋"/>
          <w:b/>
          <w:sz w:val="28"/>
          <w:szCs w:val="28"/>
        </w:rPr>
      </w:pPr>
      <w:r>
        <w:rPr>
          <w:rFonts w:hint="eastAsia" w:ascii="仿宋" w:hAnsi="仿宋" w:eastAsia="仿宋" w:cs="仿宋"/>
          <w:b/>
          <w:sz w:val="28"/>
          <w:szCs w:val="28"/>
        </w:rPr>
        <w:t>【第标段】</w:t>
      </w:r>
    </w:p>
    <w:p>
      <w:pPr>
        <w:spacing w:afterLines="50" w:line="500" w:lineRule="exact"/>
        <w:jc w:val="center"/>
        <w:rPr>
          <w:rFonts w:ascii="仿宋" w:hAnsi="仿宋" w:eastAsia="仿宋" w:cs="仿宋"/>
          <w:b/>
          <w:sz w:val="28"/>
          <w:szCs w:val="28"/>
        </w:rPr>
      </w:pPr>
    </w:p>
    <w:p>
      <w:pPr>
        <w:spacing w:afterLines="50" w:line="500" w:lineRule="exact"/>
        <w:jc w:val="center"/>
        <w:rPr>
          <w:rFonts w:ascii="仿宋" w:hAnsi="仿宋" w:eastAsia="仿宋" w:cs="仿宋"/>
          <w:b/>
          <w:sz w:val="28"/>
          <w:szCs w:val="28"/>
        </w:rPr>
      </w:pPr>
    </w:p>
    <w:p>
      <w:pPr>
        <w:spacing w:afterLines="50" w:line="500" w:lineRule="exact"/>
        <w:ind w:firstLine="3612" w:firstLineChars="1285"/>
        <w:rPr>
          <w:rFonts w:ascii="仿宋" w:hAnsi="仿宋" w:eastAsia="仿宋" w:cs="仿宋"/>
          <w:b/>
          <w:sz w:val="28"/>
          <w:szCs w:val="28"/>
          <w:u w:val="single"/>
        </w:rPr>
      </w:pPr>
      <w:r>
        <w:rPr>
          <w:rFonts w:hint="eastAsia" w:ascii="仿宋" w:hAnsi="仿宋" w:eastAsia="仿宋" w:cs="仿宋"/>
          <w:b/>
          <w:sz w:val="28"/>
          <w:szCs w:val="28"/>
        </w:rPr>
        <w:t>供应商：</w:t>
      </w:r>
    </w:p>
    <w:p>
      <w:pPr>
        <w:spacing w:afterLines="50" w:line="500" w:lineRule="exact"/>
        <w:jc w:val="center"/>
        <w:rPr>
          <w:rFonts w:ascii="仿宋" w:hAnsi="仿宋" w:eastAsia="仿宋" w:cs="仿宋"/>
          <w:b/>
          <w:sz w:val="28"/>
          <w:szCs w:val="28"/>
        </w:rPr>
      </w:pPr>
      <w:r>
        <w:rPr>
          <w:rFonts w:hint="eastAsia" w:ascii="仿宋" w:hAnsi="仿宋" w:eastAsia="仿宋" w:cs="仿宋"/>
          <w:b/>
          <w:sz w:val="28"/>
          <w:szCs w:val="28"/>
        </w:rPr>
        <w:t>年月日</w:t>
      </w:r>
    </w:p>
    <w:p>
      <w:pPr>
        <w:jc w:val="center"/>
        <w:rPr>
          <w:rFonts w:ascii="仿宋" w:hAnsi="仿宋" w:eastAsia="仿宋" w:cs="仿宋"/>
          <w:sz w:val="28"/>
          <w:szCs w:val="28"/>
        </w:rPr>
      </w:pPr>
    </w:p>
    <w:p>
      <w:pPr>
        <w:pStyle w:val="57"/>
        <w:spacing w:before="120" w:after="120"/>
        <w:rPr>
          <w:rFonts w:ascii="仿宋" w:hAnsi="仿宋" w:eastAsia="仿宋" w:cs="仿宋"/>
          <w:sz w:val="28"/>
          <w:szCs w:val="28"/>
        </w:rPr>
      </w:pPr>
    </w:p>
    <w:p>
      <w:pPr>
        <w:pStyle w:val="58"/>
        <w:ind w:firstLine="420"/>
      </w:pPr>
    </w:p>
    <w:p>
      <w:pPr>
        <w:pStyle w:val="36"/>
        <w:spacing w:beforeLines="50" w:afterLines="50" w:line="560" w:lineRule="exact"/>
        <w:rPr>
          <w:rFonts w:ascii="仿宋" w:hAnsi="仿宋" w:eastAsia="仿宋" w:cs="仿宋"/>
          <w:szCs w:val="28"/>
        </w:rPr>
      </w:pPr>
      <w:r>
        <w:rPr>
          <w:rFonts w:hint="eastAsia" w:ascii="仿宋" w:hAnsi="仿宋" w:eastAsia="仿宋" w:cs="仿宋"/>
          <w:szCs w:val="28"/>
        </w:rPr>
        <w:t>响应文件资料清单</w:t>
      </w:r>
    </w:p>
    <w:tbl>
      <w:tblPr>
        <w:tblStyle w:val="40"/>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600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序号</w:t>
            </w:r>
          </w:p>
        </w:tc>
        <w:tc>
          <w:tcPr>
            <w:tcW w:w="6007" w:type="dxa"/>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资料名称</w:t>
            </w:r>
          </w:p>
        </w:tc>
        <w:tc>
          <w:tcPr>
            <w:tcW w:w="1575" w:type="dxa"/>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618" w:type="dxa"/>
            <w:gridSpan w:val="3"/>
            <w:vAlign w:val="center"/>
          </w:tcPr>
          <w:p>
            <w:pPr>
              <w:spacing w:line="400" w:lineRule="exact"/>
              <w:jc w:val="left"/>
              <w:rPr>
                <w:rFonts w:ascii="仿宋" w:hAnsi="仿宋" w:eastAsia="仿宋" w:cs="仿宋"/>
                <w:b/>
                <w:sz w:val="28"/>
                <w:szCs w:val="28"/>
              </w:rPr>
            </w:pPr>
            <w:r>
              <w:rPr>
                <w:rFonts w:hint="eastAsia" w:ascii="仿宋" w:hAnsi="仿宋" w:eastAsia="仿宋" w:cs="仿宋"/>
                <w:b/>
                <w:sz w:val="28"/>
                <w:szCs w:val="28"/>
              </w:rPr>
              <w:t>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一</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响应函</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二</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响应报价一览表</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三</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营业执照</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bCs/>
                <w:sz w:val="28"/>
                <w:szCs w:val="28"/>
              </w:rPr>
            </w:pPr>
            <w:r>
              <w:rPr>
                <w:rFonts w:hint="eastAsia" w:ascii="仿宋" w:hAnsi="仿宋" w:eastAsia="仿宋" w:cs="仿宋"/>
                <w:sz w:val="28"/>
                <w:szCs w:val="28"/>
              </w:rPr>
              <w:t>四</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资质证书（如有）</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bCs/>
                <w:sz w:val="28"/>
                <w:szCs w:val="28"/>
              </w:rPr>
              <w:t>五</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联合体协议（如有）</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六</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无重大违法记录声明函、无不良信用记录声明函</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七</w:t>
            </w:r>
          </w:p>
        </w:tc>
        <w:tc>
          <w:tcPr>
            <w:tcW w:w="6007" w:type="dxa"/>
            <w:vAlign w:val="center"/>
          </w:tcPr>
          <w:p>
            <w:pPr>
              <w:rPr>
                <w:rFonts w:ascii="仿宋" w:hAnsi="仿宋" w:eastAsia="仿宋" w:cs="仿宋"/>
                <w:bCs/>
                <w:sz w:val="28"/>
                <w:szCs w:val="28"/>
              </w:rPr>
            </w:pPr>
            <w:r>
              <w:rPr>
                <w:rFonts w:hint="eastAsia" w:ascii="仿宋" w:hAnsi="仿宋" w:eastAsia="仿宋" w:cs="仿宋"/>
                <w:kern w:val="0"/>
                <w:sz w:val="28"/>
                <w:szCs w:val="28"/>
              </w:rPr>
              <w:t>供应商其他资格要求</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八</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投标授权书</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九</w:t>
            </w:r>
          </w:p>
        </w:tc>
        <w:tc>
          <w:tcPr>
            <w:tcW w:w="6007" w:type="dxa"/>
            <w:vAlign w:val="center"/>
          </w:tcPr>
          <w:p>
            <w:pPr>
              <w:rPr>
                <w:rFonts w:ascii="仿宋" w:hAnsi="仿宋" w:eastAsia="仿宋" w:cs="仿宋"/>
                <w:bCs/>
                <w:sz w:val="28"/>
                <w:szCs w:val="28"/>
              </w:rPr>
            </w:pPr>
            <w:r>
              <w:rPr>
                <w:rFonts w:hint="eastAsia" w:ascii="仿宋" w:hAnsi="仿宋" w:eastAsia="仿宋" w:cs="仿宋"/>
                <w:sz w:val="28"/>
                <w:szCs w:val="28"/>
              </w:rPr>
              <w:t xml:space="preserve">标书响应情况 </w:t>
            </w:r>
          </w:p>
        </w:tc>
        <w:tc>
          <w:tcPr>
            <w:tcW w:w="1575" w:type="dxa"/>
            <w:vAlign w:val="center"/>
          </w:tcPr>
          <w:p>
            <w:pPr>
              <w:spacing w:line="360" w:lineRule="auto"/>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36" w:type="dxa"/>
            <w:vAlign w:val="center"/>
          </w:tcPr>
          <w:p>
            <w:pPr>
              <w:jc w:val="center"/>
              <w:rPr>
                <w:rFonts w:ascii="仿宋" w:hAnsi="仿宋" w:eastAsia="仿宋" w:cs="仿宋"/>
                <w:sz w:val="28"/>
                <w:szCs w:val="28"/>
              </w:rPr>
            </w:pPr>
            <w:r>
              <w:rPr>
                <w:rFonts w:hint="eastAsia" w:ascii="仿宋" w:hAnsi="仿宋" w:eastAsia="仿宋" w:cs="仿宋"/>
                <w:sz w:val="28"/>
                <w:szCs w:val="28"/>
              </w:rPr>
              <w:t>十</w:t>
            </w:r>
          </w:p>
        </w:tc>
        <w:tc>
          <w:tcPr>
            <w:tcW w:w="6007" w:type="dxa"/>
            <w:vAlign w:val="center"/>
          </w:tcPr>
          <w:p>
            <w:pPr>
              <w:rPr>
                <w:rFonts w:ascii="仿宋" w:hAnsi="仿宋" w:eastAsia="仿宋" w:cs="仿宋"/>
                <w:sz w:val="28"/>
                <w:szCs w:val="28"/>
              </w:rPr>
            </w:pPr>
            <w:r>
              <w:rPr>
                <w:rFonts w:hint="eastAsia" w:ascii="仿宋" w:hAnsi="仿宋" w:eastAsia="仿宋" w:cs="仿宋"/>
                <w:sz w:val="28"/>
                <w:szCs w:val="28"/>
              </w:rPr>
              <w:t>技术标部分</w:t>
            </w:r>
          </w:p>
        </w:tc>
        <w:tc>
          <w:tcPr>
            <w:tcW w:w="1575"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36" w:type="dxa"/>
            <w:vAlign w:val="center"/>
          </w:tcPr>
          <w:p>
            <w:pPr>
              <w:jc w:val="center"/>
              <w:rPr>
                <w:rFonts w:ascii="仿宋" w:hAnsi="仿宋" w:eastAsia="仿宋" w:cs="仿宋"/>
                <w:sz w:val="28"/>
                <w:szCs w:val="28"/>
              </w:rPr>
            </w:pPr>
          </w:p>
        </w:tc>
        <w:tc>
          <w:tcPr>
            <w:tcW w:w="6007" w:type="dxa"/>
            <w:vAlign w:val="center"/>
          </w:tcPr>
          <w:p>
            <w:pPr>
              <w:rPr>
                <w:rFonts w:ascii="仿宋" w:hAnsi="仿宋" w:eastAsia="仿宋" w:cs="仿宋"/>
                <w:sz w:val="28"/>
                <w:szCs w:val="28"/>
              </w:rPr>
            </w:pPr>
          </w:p>
        </w:tc>
        <w:tc>
          <w:tcPr>
            <w:tcW w:w="1575" w:type="dxa"/>
            <w:vAlign w:val="center"/>
          </w:tcPr>
          <w:p>
            <w:pPr>
              <w:jc w:val="center"/>
              <w:rPr>
                <w:rFonts w:ascii="仿宋" w:hAnsi="仿宋" w:eastAsia="仿宋" w:cs="仿宋"/>
                <w:sz w:val="28"/>
                <w:szCs w:val="28"/>
              </w:rPr>
            </w:pPr>
          </w:p>
        </w:tc>
      </w:tr>
    </w:tbl>
    <w:p>
      <w:pPr>
        <w:spacing w:line="520" w:lineRule="exact"/>
        <w:jc w:val="center"/>
        <w:rPr>
          <w:rFonts w:ascii="仿宋" w:hAnsi="仿宋" w:eastAsia="仿宋" w:cs="仿宋"/>
          <w:kern w:val="0"/>
          <w:sz w:val="28"/>
          <w:szCs w:val="28"/>
        </w:rPr>
      </w:pPr>
      <w:bookmarkStart w:id="224" w:name="_Toc197934563"/>
      <w:r>
        <w:rPr>
          <w:rFonts w:hint="eastAsia" w:ascii="仿宋" w:hAnsi="仿宋" w:eastAsia="仿宋" w:cs="仿宋"/>
          <w:sz w:val="28"/>
          <w:szCs w:val="28"/>
        </w:rPr>
        <w:br w:type="page"/>
      </w:r>
      <w:bookmarkStart w:id="225" w:name="_Hlt533409360"/>
      <w:bookmarkEnd w:id="225"/>
      <w:bookmarkStart w:id="226" w:name="_Hlt533408916"/>
      <w:bookmarkEnd w:id="226"/>
      <w:bookmarkStart w:id="227" w:name="_Hlt509716873"/>
      <w:bookmarkEnd w:id="227"/>
      <w:bookmarkStart w:id="228" w:name="_Hlt519045798"/>
      <w:bookmarkEnd w:id="228"/>
      <w:bookmarkStart w:id="229" w:name="_Hlt533408409"/>
      <w:bookmarkEnd w:id="229"/>
      <w:bookmarkStart w:id="230" w:name="_Toc438649045"/>
      <w:bookmarkStart w:id="231" w:name="_Toc444076918"/>
      <w:bookmarkStart w:id="232" w:name="_Toc516969097"/>
      <w:bookmarkStart w:id="233" w:name="_Toc457942817"/>
    </w:p>
    <w:p>
      <w:pPr>
        <w:pStyle w:val="6"/>
        <w:spacing w:before="0" w:after="0" w:line="520" w:lineRule="exact"/>
        <w:ind w:firstLine="0"/>
        <w:rPr>
          <w:rStyle w:val="62"/>
          <w:rFonts w:ascii="仿宋" w:hAnsi="仿宋" w:eastAsia="仿宋" w:cs="仿宋"/>
          <w:b/>
          <w:bCs/>
          <w:sz w:val="28"/>
          <w:szCs w:val="28"/>
        </w:rPr>
      </w:pPr>
      <w:bookmarkStart w:id="234" w:name="_Toc5091"/>
      <w:bookmarkStart w:id="235" w:name="_Toc22318"/>
      <w:bookmarkStart w:id="236" w:name="_Toc20719"/>
      <w:bookmarkStart w:id="237" w:name="_Toc17914"/>
      <w:bookmarkStart w:id="238" w:name="_Toc8129"/>
      <w:bookmarkStart w:id="239" w:name="_Toc29588"/>
      <w:bookmarkStart w:id="240" w:name="_Toc20726"/>
      <w:bookmarkStart w:id="241" w:name="_Toc24384"/>
      <w:bookmarkStart w:id="242" w:name="_Toc29162"/>
      <w:bookmarkStart w:id="243" w:name="_Toc23473"/>
      <w:bookmarkStart w:id="244" w:name="_Toc1047"/>
      <w:bookmarkStart w:id="245" w:name="_Toc101102123"/>
      <w:r>
        <w:rPr>
          <w:rStyle w:val="62"/>
          <w:rFonts w:hint="eastAsia" w:ascii="仿宋" w:hAnsi="仿宋" w:eastAsia="仿宋" w:cs="仿宋"/>
          <w:b/>
          <w:bCs/>
          <w:sz w:val="28"/>
          <w:szCs w:val="28"/>
        </w:rPr>
        <w:t>一、响应函</w:t>
      </w:r>
      <w:bookmarkEnd w:id="234"/>
      <w:bookmarkEnd w:id="235"/>
      <w:bookmarkEnd w:id="236"/>
      <w:bookmarkEnd w:id="237"/>
      <w:bookmarkEnd w:id="238"/>
      <w:bookmarkEnd w:id="239"/>
      <w:bookmarkEnd w:id="240"/>
      <w:bookmarkEnd w:id="241"/>
      <w:bookmarkEnd w:id="242"/>
      <w:bookmarkEnd w:id="243"/>
      <w:bookmarkEnd w:id="244"/>
      <w:bookmarkEnd w:id="245"/>
    </w:p>
    <w:p>
      <w:pPr>
        <w:pStyle w:val="23"/>
        <w:spacing w:line="480" w:lineRule="exact"/>
        <w:rPr>
          <w:rFonts w:ascii="仿宋" w:hAnsi="仿宋" w:eastAsia="仿宋" w:cs="仿宋"/>
          <w:b w:val="0"/>
          <w:bCs/>
          <w:szCs w:val="28"/>
        </w:rPr>
      </w:pPr>
      <w:r>
        <w:rPr>
          <w:rFonts w:hint="eastAsia" w:ascii="仿宋" w:hAnsi="仿宋" w:eastAsia="仿宋" w:cs="仿宋"/>
          <w:szCs w:val="28"/>
        </w:rPr>
        <w:t>致：</w:t>
      </w:r>
      <w:r>
        <w:rPr>
          <w:rFonts w:hint="eastAsia" w:ascii="仿宋" w:hAnsi="仿宋" w:eastAsia="仿宋" w:cs="仿宋"/>
          <w:b w:val="0"/>
          <w:bCs/>
          <w:szCs w:val="28"/>
        </w:rPr>
        <w:t>___________（采购人名称）</w:t>
      </w:r>
    </w:p>
    <w:p>
      <w:pPr>
        <w:spacing w:line="480" w:lineRule="exact"/>
        <w:ind w:firstLine="560" w:firstLineChars="200"/>
        <w:rPr>
          <w:rFonts w:ascii="仿宋" w:hAnsi="仿宋" w:eastAsia="仿宋" w:cs="仿宋"/>
          <w:sz w:val="28"/>
          <w:szCs w:val="28"/>
        </w:rPr>
      </w:pPr>
      <w:r>
        <w:rPr>
          <w:rFonts w:hint="eastAsia" w:ascii="仿宋" w:hAnsi="仿宋" w:eastAsia="仿宋" w:cs="仿宋"/>
          <w:bCs/>
          <w:sz w:val="28"/>
          <w:szCs w:val="28"/>
        </w:rPr>
        <w:t>根据贵方“</w:t>
      </w:r>
      <w:r>
        <w:rPr>
          <w:rFonts w:hint="eastAsia" w:ascii="仿宋" w:hAnsi="仿宋" w:eastAsia="仿宋" w:cs="仿宋"/>
          <w:bCs/>
          <w:sz w:val="28"/>
          <w:szCs w:val="28"/>
          <w:u w:val="single"/>
        </w:rPr>
        <w:t>某项目</w:t>
      </w:r>
      <w:r>
        <w:rPr>
          <w:rFonts w:hint="eastAsia" w:ascii="仿宋" w:hAnsi="仿宋" w:eastAsia="仿宋" w:cs="仿宋"/>
          <w:bCs/>
          <w:sz w:val="28"/>
          <w:szCs w:val="28"/>
        </w:rPr>
        <w:t>”的第</w:t>
      </w:r>
      <w:r>
        <w:rPr>
          <w:rFonts w:hint="eastAsia" w:ascii="仿宋" w:hAnsi="仿宋" w:eastAsia="仿宋" w:cs="仿宋"/>
          <w:bCs/>
          <w:kern w:val="0"/>
          <w:sz w:val="28"/>
          <w:szCs w:val="28"/>
          <w:u w:val="single"/>
          <w:lang w:val="zh-CN"/>
        </w:rPr>
        <w:t>某编</w:t>
      </w:r>
      <w:r>
        <w:rPr>
          <w:rFonts w:hint="eastAsia" w:ascii="仿宋" w:hAnsi="仿宋" w:eastAsia="仿宋" w:cs="仿宋"/>
          <w:bCs/>
          <w:sz w:val="28"/>
          <w:szCs w:val="28"/>
          <w:u w:val="single"/>
        </w:rPr>
        <w:t xml:space="preserve">号 </w:t>
      </w:r>
      <w:r>
        <w:rPr>
          <w:rFonts w:hint="eastAsia" w:ascii="仿宋" w:hAnsi="仿宋" w:eastAsia="仿宋" w:cs="仿宋"/>
          <w:bCs/>
          <w:sz w:val="28"/>
          <w:szCs w:val="28"/>
        </w:rPr>
        <w:t>发包公告</w:t>
      </w:r>
      <w:r>
        <w:rPr>
          <w:rFonts w:hint="eastAsia" w:ascii="仿宋" w:hAnsi="仿宋" w:eastAsia="仿宋" w:cs="仿宋"/>
          <w:sz w:val="28"/>
          <w:szCs w:val="28"/>
        </w:rPr>
        <w:t>，正式授权（姓名）代表供应商（供应商全称）。据此函，签字人兹宣布同意如下：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1、如我公司成交，我公司承诺愿意按发包文件规定缴纳履约保证金。</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2、我方根据发包文件的规定，严格履行合同的责任和义务,并保证于买方要求的日期内完成服务，并通过买方验收。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我方已详细审核全部发包文件，包括发包文件的答疑、澄清、变更或补充（如有），参考资料及有关附件，我方正式认可并遵守本次发包文件，并对发包文件各项条款（包括发包时间）、规定及要求均无异议。我方知道必须放弃提出含糊不清或误解的问题的权利。</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4、我方同意从发包文件规定的开标日期起遵循本响应文件，并在发包文件规定的响应有效期之前均具有约束力。</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5、我方承诺如响应保证金未在发包文件规定时间交纳，我方响应无效，由此产生的一切后果由我方承担；如果在发包后规定的响应有效期内撤回投标，我方的响应保证金可被贵方没收。</w:t>
      </w:r>
    </w:p>
    <w:p>
      <w:pPr>
        <w:spacing w:line="48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6、我方声明响应文件所提供的一切资料均真实无误、及时、有效。企业运营正常（注册登记信息、年报信息可查）由于我方提供资料不实而造成的责任和后果由我方承担。我方同意按照贵方提出的要求，提供与发包有关的任何证据、数据或资料。</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7、与本发包有关的通讯地址：</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电    话：           传    真：</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供应商基本账户开户名： 账号： 开户行：</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日    期：</w:t>
      </w:r>
    </w:p>
    <w:p>
      <w:pPr>
        <w:rPr>
          <w:rFonts w:ascii="仿宋" w:hAnsi="仿宋" w:eastAsia="仿宋" w:cs="仿宋"/>
          <w:sz w:val="28"/>
          <w:szCs w:val="28"/>
        </w:rPr>
      </w:pPr>
    </w:p>
    <w:p>
      <w:pPr>
        <w:snapToGrid w:val="0"/>
        <w:spacing w:line="360" w:lineRule="auto"/>
        <w:rPr>
          <w:rFonts w:ascii="仿宋" w:hAnsi="仿宋" w:eastAsia="仿宋" w:cs="仿宋"/>
          <w:bCs/>
          <w:sz w:val="28"/>
          <w:szCs w:val="28"/>
        </w:rPr>
      </w:pPr>
      <w:r>
        <w:rPr>
          <w:rFonts w:hint="eastAsia" w:ascii="仿宋" w:hAnsi="仿宋" w:eastAsia="仿宋" w:cs="仿宋"/>
          <w:sz w:val="28"/>
          <w:szCs w:val="28"/>
        </w:rPr>
        <w:br w:type="page"/>
      </w:r>
    </w:p>
    <w:p>
      <w:pPr>
        <w:pStyle w:val="6"/>
        <w:spacing w:before="0" w:after="0" w:line="520" w:lineRule="exact"/>
        <w:ind w:firstLine="0"/>
        <w:rPr>
          <w:rStyle w:val="62"/>
          <w:rFonts w:hint="eastAsia" w:ascii="仿宋" w:hAnsi="仿宋" w:eastAsia="仿宋" w:cs="仿宋"/>
          <w:b/>
          <w:bCs/>
          <w:sz w:val="28"/>
          <w:szCs w:val="28"/>
          <w:lang w:eastAsia="zh-CN"/>
        </w:rPr>
      </w:pPr>
      <w:bookmarkStart w:id="246" w:name="_Toc23569"/>
      <w:bookmarkStart w:id="247" w:name="_Toc15922"/>
      <w:bookmarkStart w:id="248" w:name="_Toc29502"/>
      <w:bookmarkStart w:id="249" w:name="_Toc10522"/>
      <w:bookmarkStart w:id="250" w:name="_Toc13680"/>
      <w:r>
        <w:rPr>
          <w:rStyle w:val="62"/>
          <w:rFonts w:hint="eastAsia" w:ascii="仿宋" w:hAnsi="仿宋" w:eastAsia="仿宋" w:cs="仿宋"/>
          <w:b/>
          <w:bCs/>
          <w:sz w:val="28"/>
          <w:szCs w:val="28"/>
        </w:rPr>
        <w:t>二、</w:t>
      </w:r>
      <w:r>
        <w:rPr>
          <w:rFonts w:hint="eastAsia" w:ascii="仿宋" w:hAnsi="仿宋" w:eastAsia="仿宋" w:cs="仿宋"/>
          <w:sz w:val="28"/>
          <w:szCs w:val="28"/>
        </w:rPr>
        <w:t>响应报价一览表</w:t>
      </w:r>
      <w:bookmarkEnd w:id="246"/>
      <w:bookmarkEnd w:id="247"/>
      <w:bookmarkEnd w:id="248"/>
      <w:bookmarkEnd w:id="249"/>
      <w:bookmarkEnd w:id="250"/>
      <w:r>
        <w:rPr>
          <w:rFonts w:hint="eastAsia" w:ascii="仿宋" w:hAnsi="仿宋" w:eastAsia="仿宋" w:cs="仿宋"/>
          <w:sz w:val="28"/>
          <w:szCs w:val="28"/>
          <w:lang w:eastAsia="zh-CN"/>
        </w:rPr>
        <w:t>（</w:t>
      </w:r>
      <w:r>
        <w:rPr>
          <w:rFonts w:hint="eastAsia" w:ascii="仿宋" w:hAnsi="仿宋" w:eastAsia="仿宋" w:cs="仿宋"/>
          <w:b w:val="0"/>
          <w:bCs w:val="0"/>
          <w:sz w:val="28"/>
          <w:szCs w:val="28"/>
          <w:lang w:eastAsia="zh-CN"/>
        </w:rPr>
        <w:t>含分项报价表）</w:t>
      </w:r>
    </w:p>
    <w:tbl>
      <w:tblPr>
        <w:tblStyle w:val="41"/>
        <w:tblW w:w="8775"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2085"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ascii="仿宋" w:hAnsi="仿宋" w:eastAsia="仿宋" w:cs="仿宋"/>
                <w:kern w:val="0"/>
                <w:sz w:val="28"/>
                <w:szCs w:val="28"/>
              </w:rPr>
            </w:pPr>
            <w:r>
              <w:rPr>
                <w:rFonts w:hint="eastAsia" w:ascii="仿宋" w:hAnsi="仿宋" w:eastAsia="仿宋" w:cs="仿宋"/>
                <w:kern w:val="0"/>
                <w:sz w:val="28"/>
                <w:szCs w:val="28"/>
              </w:rPr>
              <w:t>供应商名称</w:t>
            </w:r>
          </w:p>
        </w:tc>
        <w:tc>
          <w:tcPr>
            <w:tcW w:w="6690"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exact"/>
        </w:trPr>
        <w:tc>
          <w:tcPr>
            <w:tcW w:w="2085" w:type="dxa"/>
            <w:tcBorders>
              <w:left w:val="single" w:color="auto" w:sz="4" w:space="0"/>
              <w:bottom w:val="single" w:color="auto" w:sz="4" w:space="0"/>
              <w:right w:val="single" w:color="auto" w:sz="4" w:space="0"/>
            </w:tcBorders>
            <w:vAlign w:val="center"/>
          </w:tcPr>
          <w:p>
            <w:pPr>
              <w:numPr>
                <w:ilvl w:val="255"/>
                <w:numId w:val="0"/>
              </w:numPr>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响应报价</w:t>
            </w:r>
          </w:p>
        </w:tc>
        <w:tc>
          <w:tcPr>
            <w:tcW w:w="6690"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left"/>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小写：______________(大写：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trPr>
        <w:tc>
          <w:tcPr>
            <w:tcW w:w="2085"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ascii="仿宋" w:hAnsi="仿宋" w:eastAsia="仿宋" w:cs="仿宋"/>
                <w:kern w:val="0"/>
                <w:sz w:val="28"/>
                <w:szCs w:val="28"/>
              </w:rPr>
            </w:pPr>
            <w:r>
              <w:rPr>
                <w:rFonts w:hint="eastAsia" w:ascii="仿宋" w:hAnsi="仿宋" w:eastAsia="仿宋" w:cs="仿宋"/>
                <w:kern w:val="0"/>
                <w:sz w:val="28"/>
                <w:szCs w:val="28"/>
              </w:rPr>
              <w:t>备注</w:t>
            </w:r>
          </w:p>
        </w:tc>
        <w:tc>
          <w:tcPr>
            <w:tcW w:w="6690"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ascii="仿宋" w:hAnsi="仿宋" w:eastAsia="仿宋" w:cs="仿宋"/>
                <w:kern w:val="0"/>
                <w:sz w:val="28"/>
                <w:szCs w:val="28"/>
              </w:rPr>
            </w:pPr>
          </w:p>
        </w:tc>
      </w:tr>
    </w:tbl>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供应商盖章：</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日    期：</w:t>
      </w: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rPr>
          <w:rFonts w:hint="eastAsia" w:ascii="仿宋" w:hAnsi="仿宋" w:eastAsia="仿宋" w:cs="仿宋"/>
          <w:sz w:val="28"/>
          <w:szCs w:val="28"/>
        </w:rPr>
      </w:pPr>
    </w:p>
    <w:p>
      <w:pPr>
        <w:pStyle w:val="112"/>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分项报价表</w:t>
      </w:r>
    </w:p>
    <w:tbl>
      <w:tblPr>
        <w:tblStyle w:val="40"/>
        <w:tblW w:w="5307" w:type="pct"/>
        <w:tblInd w:w="-3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469"/>
        <w:gridCol w:w="779"/>
        <w:gridCol w:w="779"/>
        <w:gridCol w:w="779"/>
        <w:gridCol w:w="779"/>
        <w:gridCol w:w="3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单价</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合价</w:t>
            </w: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投标设备参数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路由器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定制文件柜</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会议桌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会议椅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接待沙发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书架</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投影机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电动幕布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音箱</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65寸电视机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冷藏柜</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办公用品</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台球案套装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棋牌桌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模牌套装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键身套装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多功能训练器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跑步机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动感单车</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电动按摩椅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瑜伽套装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茶水用品套装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休闲区沙发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花草绿植区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全屋家具定制</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定制镜面</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文化墙</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环境改造</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平方</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bl>
    <w:p>
      <w:pPr>
        <w:numPr>
          <w:ilvl w:val="255"/>
          <w:numId w:val="0"/>
        </w:numPr>
        <w:spacing w:line="520" w:lineRule="exact"/>
        <w:jc w:val="center"/>
        <w:rPr>
          <w:rFonts w:ascii="仿宋" w:hAnsi="仿宋" w:eastAsia="仿宋" w:cs="仿宋"/>
          <w:kern w:val="0"/>
          <w:sz w:val="28"/>
          <w:szCs w:val="28"/>
        </w:rPr>
      </w:pPr>
    </w:p>
    <w:p>
      <w:pPr>
        <w:spacing w:line="520" w:lineRule="exact"/>
        <w:jc w:val="center"/>
        <w:rPr>
          <w:rFonts w:ascii="仿宋" w:hAnsi="仿宋" w:eastAsia="仿宋" w:cs="仿宋"/>
          <w:kern w:val="0"/>
          <w:sz w:val="28"/>
          <w:szCs w:val="28"/>
        </w:rPr>
      </w:pPr>
    </w:p>
    <w:p>
      <w:pPr>
        <w:pStyle w:val="2"/>
        <w:rPr>
          <w:rFonts w:ascii="仿宋" w:hAnsi="仿宋" w:eastAsia="仿宋" w:cs="仿宋"/>
          <w:kern w:val="0"/>
          <w:sz w:val="28"/>
          <w:szCs w:val="28"/>
        </w:rPr>
      </w:pPr>
    </w:p>
    <w:p>
      <w:pPr>
        <w:pStyle w:val="2"/>
        <w:rPr>
          <w:rFonts w:ascii="仿宋" w:hAnsi="仿宋" w:eastAsia="仿宋" w:cs="仿宋"/>
          <w:kern w:val="0"/>
          <w:sz w:val="28"/>
          <w:szCs w:val="28"/>
        </w:rPr>
      </w:pPr>
    </w:p>
    <w:p>
      <w:pPr>
        <w:pStyle w:val="2"/>
        <w:rPr>
          <w:rFonts w:ascii="仿宋" w:hAnsi="仿宋" w:eastAsia="仿宋" w:cs="仿宋"/>
          <w:kern w:val="0"/>
          <w:sz w:val="28"/>
          <w:szCs w:val="28"/>
        </w:rPr>
      </w:pPr>
    </w:p>
    <w:p>
      <w:pPr>
        <w:pStyle w:val="6"/>
        <w:spacing w:before="0" w:after="0" w:line="520" w:lineRule="exact"/>
        <w:ind w:firstLine="0"/>
        <w:rPr>
          <w:rStyle w:val="62"/>
          <w:rFonts w:ascii="仿宋" w:hAnsi="仿宋" w:eastAsia="仿宋" w:cs="仿宋"/>
          <w:b/>
          <w:bCs/>
          <w:sz w:val="28"/>
          <w:szCs w:val="28"/>
        </w:rPr>
      </w:pPr>
      <w:bookmarkStart w:id="251" w:name="_Toc15004"/>
      <w:bookmarkStart w:id="252" w:name="_Toc18753"/>
      <w:bookmarkStart w:id="253" w:name="_Toc28570"/>
      <w:bookmarkStart w:id="254" w:name="_Toc22386"/>
      <w:bookmarkStart w:id="255" w:name="_Toc28434"/>
      <w:bookmarkStart w:id="256" w:name="_Toc24406"/>
      <w:bookmarkStart w:id="257" w:name="_Toc101102124"/>
      <w:bookmarkStart w:id="258" w:name="_Toc20266"/>
      <w:bookmarkStart w:id="259" w:name="_Toc7737"/>
      <w:bookmarkStart w:id="260" w:name="_Toc31262"/>
      <w:bookmarkStart w:id="261" w:name="_Toc17504"/>
      <w:bookmarkStart w:id="262" w:name="_Toc26841"/>
      <w:r>
        <w:rPr>
          <w:rStyle w:val="62"/>
          <w:rFonts w:hint="eastAsia" w:ascii="仿宋" w:hAnsi="仿宋" w:eastAsia="仿宋" w:cs="仿宋"/>
          <w:b/>
          <w:bCs/>
          <w:sz w:val="28"/>
          <w:szCs w:val="28"/>
        </w:rPr>
        <w:t>三、营业执照</w:t>
      </w:r>
      <w:bookmarkEnd w:id="251"/>
      <w:bookmarkEnd w:id="252"/>
      <w:bookmarkEnd w:id="253"/>
      <w:bookmarkEnd w:id="254"/>
      <w:bookmarkEnd w:id="255"/>
      <w:bookmarkEnd w:id="256"/>
      <w:bookmarkEnd w:id="257"/>
      <w:bookmarkEnd w:id="258"/>
    </w:p>
    <w:bookmarkEnd w:id="259"/>
    <w:bookmarkEnd w:id="260"/>
    <w:bookmarkEnd w:id="261"/>
    <w:bookmarkEnd w:id="262"/>
    <w:p>
      <w:pPr>
        <w:spacing w:line="520" w:lineRule="exact"/>
        <w:jc w:val="center"/>
        <w:rPr>
          <w:rFonts w:ascii="仿宋" w:hAnsi="仿宋" w:eastAsia="仿宋" w:cs="仿宋"/>
          <w:sz w:val="28"/>
          <w:szCs w:val="28"/>
          <w:highlight w:val="red"/>
        </w:rPr>
      </w:pPr>
      <w:r>
        <w:rPr>
          <w:rFonts w:hint="eastAsia" w:ascii="仿宋" w:hAnsi="仿宋" w:eastAsia="仿宋" w:cs="仿宋"/>
          <w:sz w:val="28"/>
          <w:szCs w:val="28"/>
        </w:rPr>
        <w:t xml:space="preserve"> （营业执照复印件加盖公章）</w:t>
      </w:r>
    </w:p>
    <w:p>
      <w:pPr>
        <w:pStyle w:val="6"/>
        <w:spacing w:before="0" w:after="0" w:line="520" w:lineRule="exact"/>
        <w:ind w:firstLine="0"/>
        <w:rPr>
          <w:rStyle w:val="62"/>
          <w:rFonts w:ascii="仿宋" w:hAnsi="仿宋" w:eastAsia="仿宋" w:cs="仿宋"/>
          <w:b/>
          <w:bCs/>
          <w:sz w:val="28"/>
          <w:szCs w:val="28"/>
        </w:rPr>
      </w:pPr>
    </w:p>
    <w:p>
      <w:pPr>
        <w:pStyle w:val="6"/>
        <w:spacing w:before="0" w:after="0" w:line="520" w:lineRule="exact"/>
        <w:ind w:firstLine="0"/>
        <w:rPr>
          <w:rStyle w:val="62"/>
          <w:rFonts w:ascii="仿宋" w:hAnsi="仿宋" w:eastAsia="仿宋" w:cs="仿宋"/>
          <w:b/>
          <w:bCs/>
          <w:sz w:val="28"/>
          <w:szCs w:val="28"/>
        </w:rPr>
      </w:pPr>
      <w:bookmarkStart w:id="263" w:name="_Toc31362"/>
      <w:bookmarkStart w:id="264" w:name="_Toc14701"/>
      <w:bookmarkStart w:id="265" w:name="_Toc93"/>
      <w:bookmarkStart w:id="266" w:name="_Toc5367"/>
      <w:bookmarkStart w:id="267" w:name="_Toc28491"/>
      <w:bookmarkStart w:id="268" w:name="_Toc23599"/>
      <w:bookmarkStart w:id="269" w:name="_Toc11629"/>
      <w:bookmarkStart w:id="270" w:name="_Toc15983"/>
      <w:bookmarkStart w:id="271" w:name="_Toc101102125"/>
      <w:bookmarkStart w:id="272" w:name="_Toc15790"/>
      <w:bookmarkStart w:id="273" w:name="_Toc25534"/>
      <w:bookmarkStart w:id="274" w:name="_Toc9217"/>
      <w:r>
        <w:rPr>
          <w:rStyle w:val="62"/>
          <w:rFonts w:hint="eastAsia" w:ascii="仿宋" w:hAnsi="仿宋" w:eastAsia="仿宋" w:cs="仿宋"/>
          <w:b/>
          <w:bCs/>
          <w:sz w:val="28"/>
          <w:szCs w:val="28"/>
        </w:rPr>
        <w:t>四、</w:t>
      </w:r>
      <w:r>
        <w:rPr>
          <w:rStyle w:val="62"/>
          <w:rFonts w:hint="eastAsia" w:ascii="仿宋" w:hAnsi="仿宋" w:eastAsia="仿宋" w:cs="仿宋"/>
          <w:b/>
          <w:bCs/>
          <w:kern w:val="2"/>
          <w:sz w:val="28"/>
          <w:szCs w:val="28"/>
        </w:rPr>
        <w:t>资质证书（若有）</w:t>
      </w:r>
      <w:bookmarkEnd w:id="263"/>
      <w:bookmarkEnd w:id="264"/>
      <w:bookmarkEnd w:id="265"/>
      <w:bookmarkEnd w:id="266"/>
      <w:bookmarkEnd w:id="267"/>
      <w:bookmarkEnd w:id="268"/>
      <w:bookmarkEnd w:id="269"/>
      <w:bookmarkEnd w:id="270"/>
      <w:bookmarkEnd w:id="271"/>
      <w:bookmarkEnd w:id="272"/>
      <w:bookmarkEnd w:id="273"/>
      <w:bookmarkEnd w:id="274"/>
    </w:p>
    <w:p>
      <w:pPr>
        <w:spacing w:line="520" w:lineRule="exact"/>
        <w:jc w:val="center"/>
        <w:rPr>
          <w:rFonts w:ascii="仿宋" w:hAnsi="仿宋" w:eastAsia="仿宋" w:cs="仿宋"/>
          <w:sz w:val="28"/>
          <w:szCs w:val="28"/>
        </w:rPr>
      </w:pPr>
    </w:p>
    <w:p>
      <w:pPr>
        <w:pStyle w:val="6"/>
        <w:spacing w:before="0" w:after="0" w:line="520" w:lineRule="exact"/>
        <w:ind w:firstLine="0"/>
        <w:rPr>
          <w:rFonts w:ascii="仿宋" w:hAnsi="仿宋" w:eastAsia="仿宋" w:cs="仿宋"/>
          <w:sz w:val="28"/>
          <w:szCs w:val="28"/>
        </w:rPr>
      </w:pPr>
    </w:p>
    <w:p>
      <w:pPr>
        <w:pStyle w:val="6"/>
        <w:spacing w:before="0" w:after="0" w:line="520" w:lineRule="exact"/>
        <w:ind w:firstLine="0"/>
        <w:rPr>
          <w:rStyle w:val="62"/>
          <w:rFonts w:ascii="仿宋" w:hAnsi="仿宋" w:eastAsia="仿宋" w:cs="仿宋"/>
          <w:b/>
          <w:bCs/>
          <w:sz w:val="28"/>
          <w:szCs w:val="28"/>
        </w:rPr>
      </w:pPr>
      <w:bookmarkStart w:id="275" w:name="_Toc4555"/>
      <w:bookmarkStart w:id="276" w:name="_Toc101102126"/>
      <w:bookmarkStart w:id="277" w:name="_Toc6618"/>
      <w:bookmarkStart w:id="278" w:name="_Toc16491"/>
      <w:bookmarkStart w:id="279" w:name="_Toc25684"/>
      <w:bookmarkStart w:id="280" w:name="_Toc13489"/>
      <w:bookmarkStart w:id="281" w:name="_Toc32248"/>
      <w:bookmarkStart w:id="282" w:name="_Toc17948"/>
      <w:bookmarkStart w:id="283" w:name="_Toc18820"/>
      <w:bookmarkStart w:id="284" w:name="_Toc20131"/>
      <w:bookmarkStart w:id="285" w:name="_Toc12047"/>
      <w:bookmarkStart w:id="286" w:name="_Toc5734"/>
      <w:r>
        <w:rPr>
          <w:rStyle w:val="62"/>
          <w:rFonts w:hint="eastAsia" w:ascii="仿宋" w:hAnsi="仿宋" w:eastAsia="仿宋" w:cs="仿宋"/>
          <w:b/>
          <w:bCs/>
          <w:sz w:val="28"/>
          <w:szCs w:val="28"/>
        </w:rPr>
        <w:t>五</w:t>
      </w:r>
      <w:r>
        <w:rPr>
          <w:rStyle w:val="62"/>
          <w:rFonts w:hint="eastAsia" w:ascii="仿宋" w:hAnsi="仿宋" w:eastAsia="仿宋" w:cs="仿宋"/>
          <w:b/>
          <w:bCs/>
          <w:kern w:val="2"/>
          <w:sz w:val="28"/>
          <w:szCs w:val="28"/>
        </w:rPr>
        <w:t>、联合体协议（</w:t>
      </w:r>
      <w:r>
        <w:rPr>
          <w:rStyle w:val="62"/>
          <w:rFonts w:hint="eastAsia" w:ascii="仿宋" w:hAnsi="仿宋" w:eastAsia="仿宋" w:cs="仿宋"/>
          <w:b/>
          <w:bCs/>
          <w:sz w:val="28"/>
          <w:szCs w:val="28"/>
        </w:rPr>
        <w:t>不采用</w:t>
      </w:r>
      <w:r>
        <w:rPr>
          <w:rStyle w:val="62"/>
          <w:rFonts w:hint="eastAsia" w:ascii="仿宋" w:hAnsi="仿宋" w:eastAsia="仿宋" w:cs="仿宋"/>
          <w:b/>
          <w:bCs/>
          <w:kern w:val="2"/>
          <w:sz w:val="28"/>
          <w:szCs w:val="28"/>
        </w:rPr>
        <w:t>）</w:t>
      </w:r>
      <w:bookmarkEnd w:id="275"/>
      <w:bookmarkEnd w:id="276"/>
      <w:bookmarkEnd w:id="277"/>
      <w:bookmarkEnd w:id="278"/>
      <w:bookmarkEnd w:id="279"/>
      <w:bookmarkEnd w:id="280"/>
      <w:bookmarkEnd w:id="281"/>
      <w:bookmarkEnd w:id="282"/>
      <w:bookmarkEnd w:id="283"/>
      <w:bookmarkEnd w:id="284"/>
      <w:bookmarkEnd w:id="285"/>
      <w:bookmarkEnd w:id="286"/>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6"/>
        <w:spacing w:before="0" w:after="0" w:line="520" w:lineRule="exact"/>
        <w:ind w:firstLine="0"/>
        <w:rPr>
          <w:rStyle w:val="62"/>
          <w:rFonts w:ascii="仿宋" w:hAnsi="仿宋" w:eastAsia="仿宋" w:cs="仿宋"/>
          <w:b/>
          <w:bCs/>
          <w:sz w:val="28"/>
          <w:szCs w:val="28"/>
        </w:rPr>
      </w:pPr>
      <w:bookmarkStart w:id="287" w:name="_Toc15615"/>
      <w:bookmarkStart w:id="288" w:name="_Toc6718"/>
      <w:bookmarkStart w:id="289" w:name="_Toc19365"/>
      <w:bookmarkStart w:id="290" w:name="_Toc14433"/>
      <w:bookmarkStart w:id="291" w:name="_Toc31116"/>
      <w:bookmarkStart w:id="292" w:name="_Toc31279"/>
      <w:bookmarkStart w:id="293" w:name="_Toc18301"/>
      <w:bookmarkStart w:id="294" w:name="_Toc30132"/>
      <w:bookmarkStart w:id="295" w:name="_Toc101102127"/>
      <w:bookmarkStart w:id="296" w:name="_Toc3126"/>
      <w:bookmarkStart w:id="297" w:name="_Toc14902"/>
      <w:bookmarkStart w:id="298" w:name="_Toc30700"/>
      <w:r>
        <w:rPr>
          <w:rStyle w:val="62"/>
          <w:rFonts w:hint="eastAsia" w:ascii="仿宋" w:hAnsi="仿宋" w:eastAsia="仿宋" w:cs="仿宋"/>
          <w:b/>
          <w:bCs/>
          <w:sz w:val="28"/>
          <w:szCs w:val="28"/>
        </w:rPr>
        <w:t>六</w:t>
      </w:r>
      <w:r>
        <w:rPr>
          <w:rStyle w:val="62"/>
          <w:rFonts w:hint="eastAsia" w:ascii="仿宋" w:hAnsi="仿宋" w:eastAsia="仿宋" w:cs="仿宋"/>
          <w:b/>
          <w:bCs/>
          <w:kern w:val="2"/>
          <w:sz w:val="28"/>
          <w:szCs w:val="28"/>
        </w:rPr>
        <w:t>、无重大违法记录声明函、无不良信用记录声明函</w:t>
      </w:r>
      <w:bookmarkEnd w:id="287"/>
      <w:bookmarkEnd w:id="288"/>
      <w:bookmarkEnd w:id="289"/>
      <w:bookmarkEnd w:id="290"/>
      <w:bookmarkEnd w:id="291"/>
      <w:bookmarkEnd w:id="292"/>
      <w:bookmarkEnd w:id="293"/>
      <w:bookmarkEnd w:id="294"/>
      <w:bookmarkEnd w:id="295"/>
      <w:bookmarkEnd w:id="296"/>
      <w:bookmarkEnd w:id="297"/>
      <w:bookmarkEnd w:id="298"/>
    </w:p>
    <w:p>
      <w:pPr>
        <w:pStyle w:val="2"/>
        <w:ind w:right="-21" w:firstLine="630"/>
        <w:rPr>
          <w:rFonts w:ascii="仿宋" w:hAnsi="仿宋" w:eastAsia="仿宋" w:cs="仿宋"/>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无重大违法记录声明函</w:t>
      </w:r>
    </w:p>
    <w:p>
      <w:pPr>
        <w:jc w:val="center"/>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本公司郑重声明，根据《中华人民共和国采购法》及《中华人民共和国采购法实施条例》的规定，参加采购活动前三年内，本公司在经营活动中没有重大违法记录，没有因违法经营受到刑事处罚或者责令停产停业、吊销许可证或者执照、较大数额罚款等行政处罚。</w:t>
      </w:r>
    </w:p>
    <w:p>
      <w:pPr>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本公司对上述声明的真实性负责。如有虚假，将依法承担相应责任。</w:t>
      </w:r>
    </w:p>
    <w:p>
      <w:pPr>
        <w:rPr>
          <w:rFonts w:ascii="仿宋" w:hAnsi="仿宋" w:eastAsia="仿宋" w:cs="仿宋"/>
          <w:sz w:val="28"/>
          <w:szCs w:val="28"/>
        </w:rPr>
      </w:pPr>
    </w:p>
    <w:p>
      <w:pPr>
        <w:ind w:right="420" w:firstLine="140" w:firstLineChars="50"/>
        <w:rPr>
          <w:rFonts w:ascii="仿宋" w:hAnsi="仿宋" w:eastAsia="仿宋" w:cs="仿宋"/>
          <w:sz w:val="28"/>
          <w:szCs w:val="28"/>
        </w:rPr>
      </w:pPr>
    </w:p>
    <w:p>
      <w:pPr>
        <w:ind w:right="420"/>
        <w:jc w:val="right"/>
        <w:rPr>
          <w:rFonts w:ascii="仿宋" w:hAnsi="仿宋" w:eastAsia="仿宋" w:cs="仿宋"/>
          <w:b/>
          <w:bCs/>
          <w:sz w:val="28"/>
          <w:szCs w:val="28"/>
        </w:rPr>
      </w:pPr>
      <w:r>
        <w:rPr>
          <w:rFonts w:hint="eastAsia" w:ascii="仿宋" w:hAnsi="仿宋" w:eastAsia="仿宋" w:cs="仿宋"/>
          <w:b/>
          <w:bCs/>
          <w:sz w:val="28"/>
          <w:szCs w:val="28"/>
        </w:rPr>
        <w:t>供应商盖章：</w:t>
      </w:r>
    </w:p>
    <w:p>
      <w:pPr>
        <w:ind w:right="420"/>
        <w:jc w:val="right"/>
        <w:rPr>
          <w:rFonts w:ascii="仿宋" w:hAnsi="仿宋" w:eastAsia="仿宋" w:cs="仿宋"/>
          <w:b/>
          <w:bCs/>
          <w:sz w:val="28"/>
          <w:szCs w:val="28"/>
        </w:rPr>
      </w:pPr>
      <w:r>
        <w:rPr>
          <w:rFonts w:hint="eastAsia" w:ascii="仿宋" w:hAnsi="仿宋" w:eastAsia="仿宋" w:cs="仿宋"/>
          <w:b/>
          <w:bCs/>
          <w:sz w:val="28"/>
          <w:szCs w:val="28"/>
        </w:rPr>
        <w:t>日期：</w:t>
      </w:r>
    </w:p>
    <w:p>
      <w:pPr>
        <w:rPr>
          <w:rFonts w:ascii="仿宋" w:hAnsi="仿宋" w:eastAsia="仿宋" w:cs="仿宋"/>
          <w:sz w:val="28"/>
          <w:szCs w:val="28"/>
        </w:rPr>
      </w:pPr>
    </w:p>
    <w:p>
      <w:pPr>
        <w:rPr>
          <w:rFonts w:ascii="仿宋" w:hAnsi="仿宋" w:eastAsia="仿宋" w:cs="仿宋"/>
          <w:b/>
          <w:bCs/>
          <w:sz w:val="28"/>
          <w:szCs w:val="28"/>
        </w:rPr>
      </w:pPr>
    </w:p>
    <w:p>
      <w:pPr>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无不良信用记录承诺函</w:t>
      </w:r>
    </w:p>
    <w:p>
      <w:pPr>
        <w:jc w:val="center"/>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本公司郑重承诺，我公司无以下不良信用记录情形：</w:t>
      </w:r>
    </w:p>
    <w:p>
      <w:pPr>
        <w:ind w:firstLine="700" w:firstLineChars="250"/>
        <w:rPr>
          <w:rFonts w:ascii="仿宋" w:hAnsi="仿宋" w:eastAsia="仿宋" w:cs="仿宋"/>
          <w:sz w:val="28"/>
          <w:szCs w:val="28"/>
        </w:rPr>
      </w:pPr>
      <w:r>
        <w:rPr>
          <w:rFonts w:hint="eastAsia" w:ascii="仿宋" w:hAnsi="仿宋" w:eastAsia="仿宋" w:cs="仿宋"/>
          <w:sz w:val="28"/>
          <w:szCs w:val="28"/>
        </w:rPr>
        <w:t>1、公司被人民法院列入失信被执行人；</w:t>
      </w:r>
    </w:p>
    <w:p>
      <w:pPr>
        <w:ind w:firstLine="700" w:firstLineChars="250"/>
        <w:rPr>
          <w:rFonts w:ascii="仿宋" w:hAnsi="仿宋" w:eastAsia="仿宋" w:cs="仿宋"/>
          <w:sz w:val="28"/>
          <w:szCs w:val="28"/>
        </w:rPr>
      </w:pPr>
      <w:r>
        <w:rPr>
          <w:rFonts w:hint="eastAsia" w:ascii="仿宋" w:hAnsi="仿宋" w:eastAsia="仿宋" w:cs="仿宋"/>
          <w:sz w:val="28"/>
          <w:szCs w:val="28"/>
        </w:rPr>
        <w:t>2、公司被市场监督管理部门列入企业经营异常名录；</w:t>
      </w:r>
    </w:p>
    <w:p>
      <w:pPr>
        <w:ind w:firstLine="700" w:firstLineChars="250"/>
        <w:rPr>
          <w:rFonts w:ascii="仿宋" w:hAnsi="仿宋" w:eastAsia="仿宋" w:cs="仿宋"/>
          <w:sz w:val="28"/>
          <w:szCs w:val="28"/>
        </w:rPr>
      </w:pPr>
      <w:r>
        <w:rPr>
          <w:rFonts w:hint="eastAsia" w:ascii="仿宋" w:hAnsi="仿宋" w:eastAsia="仿宋" w:cs="仿宋"/>
          <w:sz w:val="28"/>
          <w:szCs w:val="28"/>
        </w:rPr>
        <w:t>3、公司被税务部门列入重大税收违法案件当事人名单的；</w:t>
      </w:r>
    </w:p>
    <w:p>
      <w:pPr>
        <w:ind w:firstLine="700" w:firstLineChars="250"/>
        <w:rPr>
          <w:rFonts w:ascii="仿宋" w:hAnsi="仿宋" w:eastAsia="仿宋" w:cs="仿宋"/>
          <w:sz w:val="28"/>
          <w:szCs w:val="28"/>
        </w:rPr>
      </w:pPr>
      <w:r>
        <w:rPr>
          <w:rFonts w:hint="eastAsia" w:ascii="仿宋" w:hAnsi="仿宋" w:eastAsia="仿宋" w:cs="仿宋"/>
          <w:sz w:val="28"/>
          <w:szCs w:val="28"/>
        </w:rPr>
        <w:t>4、公司被采购监管部门列入采购严重违法失信行为记录名单。</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我公司已就上述不良信用行为按照发包文件中供应商须知前附表规定进行了查询。我公司承诺：合同签订前，若我公司具有不良信用记录情形，贵方可取消我公司成交资格或者不授予合同，所有责任由我公司自行承担。同时，我公司愿意无条件接受监管部门的调查处理。 </w:t>
      </w:r>
    </w:p>
    <w:p>
      <w:pPr>
        <w:rPr>
          <w:rFonts w:ascii="仿宋" w:hAnsi="仿宋" w:eastAsia="仿宋" w:cs="仿宋"/>
          <w:sz w:val="28"/>
          <w:szCs w:val="28"/>
        </w:rPr>
      </w:pPr>
    </w:p>
    <w:p>
      <w:pPr>
        <w:ind w:right="420"/>
        <w:jc w:val="right"/>
        <w:rPr>
          <w:rFonts w:ascii="仿宋" w:hAnsi="仿宋" w:eastAsia="仿宋" w:cs="仿宋"/>
          <w:b/>
          <w:bCs/>
          <w:sz w:val="28"/>
          <w:szCs w:val="28"/>
        </w:rPr>
      </w:pPr>
      <w:r>
        <w:rPr>
          <w:rFonts w:hint="eastAsia" w:ascii="仿宋" w:hAnsi="仿宋" w:eastAsia="仿宋" w:cs="仿宋"/>
          <w:b/>
          <w:bCs/>
          <w:sz w:val="28"/>
          <w:szCs w:val="28"/>
        </w:rPr>
        <w:t xml:space="preserve">                                     供应商盖章：</w:t>
      </w:r>
    </w:p>
    <w:p>
      <w:pPr>
        <w:ind w:right="420"/>
        <w:jc w:val="right"/>
        <w:rPr>
          <w:rFonts w:ascii="仿宋" w:hAnsi="仿宋" w:eastAsia="仿宋" w:cs="仿宋"/>
          <w:b/>
          <w:bCs/>
          <w:sz w:val="28"/>
          <w:szCs w:val="28"/>
        </w:rPr>
      </w:pPr>
      <w:r>
        <w:rPr>
          <w:rFonts w:hint="eastAsia" w:ascii="仿宋" w:hAnsi="仿宋" w:eastAsia="仿宋" w:cs="仿宋"/>
          <w:b/>
          <w:bCs/>
          <w:sz w:val="28"/>
          <w:szCs w:val="28"/>
        </w:rPr>
        <w:t>日期：</w:t>
      </w:r>
    </w:p>
    <w:p>
      <w:pPr>
        <w:jc w:val="center"/>
        <w:rPr>
          <w:rFonts w:ascii="仿宋" w:hAnsi="仿宋" w:eastAsia="仿宋" w:cs="仿宋"/>
          <w:sz w:val="28"/>
          <w:szCs w:val="28"/>
        </w:rPr>
      </w:pPr>
    </w:p>
    <w:p>
      <w:pPr>
        <w:pStyle w:val="6"/>
        <w:spacing w:before="0" w:after="0" w:line="520" w:lineRule="exact"/>
        <w:ind w:firstLine="0"/>
        <w:rPr>
          <w:rStyle w:val="62"/>
          <w:rFonts w:ascii="仿宋" w:hAnsi="仿宋" w:eastAsia="仿宋" w:cs="仿宋"/>
          <w:b/>
          <w:bCs/>
          <w:sz w:val="28"/>
          <w:szCs w:val="28"/>
        </w:rPr>
      </w:pPr>
      <w:bookmarkStart w:id="299" w:name="_Toc2656"/>
      <w:bookmarkStart w:id="300" w:name="_Toc19838"/>
      <w:bookmarkStart w:id="301" w:name="_Toc3534"/>
      <w:bookmarkStart w:id="302" w:name="_Toc1094"/>
      <w:bookmarkStart w:id="303" w:name="_Toc19085"/>
      <w:bookmarkStart w:id="304" w:name="_Toc12352"/>
      <w:bookmarkStart w:id="305" w:name="_Toc30184"/>
      <w:bookmarkStart w:id="306" w:name="_Toc27195"/>
      <w:bookmarkStart w:id="307" w:name="_Toc15439"/>
      <w:bookmarkStart w:id="308" w:name="_Toc101102128"/>
      <w:bookmarkStart w:id="309" w:name="_Toc12451"/>
      <w:bookmarkStart w:id="310" w:name="_Toc23365"/>
      <w:r>
        <w:rPr>
          <w:rStyle w:val="62"/>
          <w:rFonts w:hint="eastAsia" w:ascii="仿宋" w:hAnsi="仿宋" w:eastAsia="仿宋" w:cs="仿宋"/>
          <w:b/>
          <w:bCs/>
          <w:sz w:val="28"/>
          <w:szCs w:val="28"/>
        </w:rPr>
        <w:t>七</w:t>
      </w:r>
      <w:r>
        <w:rPr>
          <w:rStyle w:val="62"/>
          <w:rFonts w:hint="eastAsia" w:ascii="仿宋" w:hAnsi="仿宋" w:eastAsia="仿宋" w:cs="仿宋"/>
          <w:b/>
          <w:bCs/>
          <w:kern w:val="2"/>
          <w:sz w:val="28"/>
          <w:szCs w:val="28"/>
        </w:rPr>
        <w:t>、</w:t>
      </w:r>
      <w:r>
        <w:rPr>
          <w:rStyle w:val="62"/>
          <w:rFonts w:hint="eastAsia" w:ascii="仿宋" w:hAnsi="仿宋" w:eastAsia="仿宋" w:cs="仿宋"/>
          <w:b/>
          <w:bCs/>
          <w:sz w:val="28"/>
          <w:szCs w:val="28"/>
        </w:rPr>
        <w:t>供应商</w:t>
      </w:r>
      <w:r>
        <w:rPr>
          <w:rStyle w:val="62"/>
          <w:rFonts w:hint="eastAsia" w:ascii="仿宋" w:hAnsi="仿宋" w:eastAsia="仿宋" w:cs="仿宋"/>
          <w:b/>
          <w:bCs/>
          <w:kern w:val="2"/>
          <w:sz w:val="28"/>
          <w:szCs w:val="28"/>
        </w:rPr>
        <w:t>其他资格要求</w:t>
      </w:r>
      <w:bookmarkEnd w:id="299"/>
      <w:bookmarkEnd w:id="300"/>
      <w:bookmarkEnd w:id="301"/>
      <w:bookmarkEnd w:id="302"/>
      <w:bookmarkEnd w:id="303"/>
      <w:bookmarkEnd w:id="304"/>
      <w:bookmarkEnd w:id="305"/>
      <w:bookmarkEnd w:id="306"/>
      <w:bookmarkEnd w:id="307"/>
      <w:bookmarkEnd w:id="308"/>
      <w:bookmarkEnd w:id="309"/>
      <w:bookmarkEnd w:id="310"/>
    </w:p>
    <w:p>
      <w:pPr>
        <w:pStyle w:val="7"/>
        <w:rPr>
          <w:rFonts w:ascii="仿宋" w:hAnsi="仿宋" w:eastAsia="仿宋" w:cs="仿宋"/>
          <w:b w:val="0"/>
          <w:bCs w:val="0"/>
          <w:sz w:val="28"/>
          <w:szCs w:val="28"/>
        </w:rPr>
      </w:pPr>
      <w:bookmarkStart w:id="311" w:name="_Toc12744"/>
      <w:bookmarkStart w:id="312" w:name="_Toc3790"/>
      <w:bookmarkStart w:id="313" w:name="_Toc26941"/>
      <w:bookmarkStart w:id="314" w:name="_Toc21230"/>
      <w:bookmarkStart w:id="315" w:name="_Toc18197"/>
      <w:bookmarkStart w:id="316" w:name="_Toc7954"/>
      <w:bookmarkStart w:id="317" w:name="_Toc11177"/>
      <w:bookmarkStart w:id="318" w:name="_Toc8395"/>
      <w:bookmarkStart w:id="319" w:name="_Toc73807100"/>
      <w:bookmarkStart w:id="320" w:name="_Toc101102129"/>
      <w:bookmarkStart w:id="321" w:name="_Toc2753"/>
      <w:bookmarkStart w:id="322" w:name="_Toc24822"/>
      <w:bookmarkStart w:id="323" w:name="_Toc30728"/>
      <w:bookmarkStart w:id="324" w:name="_Toc5685"/>
      <w:bookmarkStart w:id="325" w:name="_Toc10412"/>
      <w:bookmarkStart w:id="326" w:name="_Toc16847"/>
      <w:r>
        <w:rPr>
          <w:rFonts w:hint="eastAsia" w:ascii="仿宋" w:hAnsi="仿宋" w:eastAsia="仿宋" w:cs="仿宋"/>
          <w:b w:val="0"/>
          <w:bCs w:val="0"/>
          <w:sz w:val="28"/>
          <w:szCs w:val="28"/>
        </w:rPr>
        <w:t>（按发包文件要求内容提供）</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6"/>
        <w:spacing w:before="140" w:after="140" w:line="520" w:lineRule="exact"/>
        <w:ind w:firstLine="0"/>
        <w:rPr>
          <w:rFonts w:ascii="仿宋" w:hAnsi="仿宋" w:eastAsia="仿宋" w:cs="仿宋"/>
          <w:sz w:val="28"/>
          <w:szCs w:val="28"/>
        </w:rPr>
      </w:pPr>
      <w:bookmarkStart w:id="327" w:name="_Toc101102130"/>
      <w:bookmarkStart w:id="328" w:name="_Toc13689"/>
      <w:bookmarkStart w:id="329" w:name="_Toc4064"/>
      <w:bookmarkStart w:id="330" w:name="_Toc26628"/>
      <w:bookmarkStart w:id="331" w:name="_Toc1279"/>
      <w:bookmarkStart w:id="332" w:name="_Toc9859"/>
      <w:bookmarkStart w:id="333" w:name="_Toc400"/>
      <w:bookmarkStart w:id="334" w:name="_Toc11834"/>
      <w:bookmarkStart w:id="335" w:name="_Toc29713"/>
      <w:bookmarkStart w:id="336" w:name="_Toc9393"/>
      <w:bookmarkStart w:id="337" w:name="_Toc3130"/>
      <w:bookmarkStart w:id="338" w:name="_Toc23041"/>
      <w:r>
        <w:rPr>
          <w:rFonts w:hint="eastAsia" w:ascii="仿宋" w:hAnsi="仿宋" w:eastAsia="仿宋" w:cs="仿宋"/>
          <w:sz w:val="28"/>
          <w:szCs w:val="28"/>
        </w:rPr>
        <w:t>八、投标授权书</w:t>
      </w:r>
      <w:bookmarkEnd w:id="327"/>
      <w:bookmarkEnd w:id="328"/>
      <w:bookmarkEnd w:id="329"/>
      <w:bookmarkEnd w:id="330"/>
      <w:bookmarkEnd w:id="331"/>
      <w:bookmarkEnd w:id="332"/>
      <w:bookmarkEnd w:id="333"/>
      <w:bookmarkEnd w:id="334"/>
      <w:bookmarkEnd w:id="335"/>
      <w:bookmarkEnd w:id="336"/>
      <w:bookmarkEnd w:id="337"/>
      <w:bookmarkEnd w:id="338"/>
    </w:p>
    <w:p>
      <w:pPr>
        <w:pStyle w:val="21"/>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本授权书声明：公司授权本公司（供应商授权代表姓名、职务）代表本公司参加</w:t>
      </w:r>
      <w:r>
        <w:rPr>
          <w:rFonts w:hint="eastAsia" w:ascii="仿宋" w:hAnsi="仿宋" w:eastAsia="仿宋" w:cs="仿宋"/>
          <w:sz w:val="28"/>
          <w:szCs w:val="28"/>
          <w:u w:val="single"/>
        </w:rPr>
        <w:t xml:space="preserve">      某项目</w:t>
      </w:r>
      <w:r>
        <w:rPr>
          <w:rFonts w:hint="eastAsia" w:ascii="仿宋" w:hAnsi="仿宋" w:eastAsia="仿宋" w:cs="仿宋"/>
          <w:sz w:val="28"/>
          <w:szCs w:val="28"/>
        </w:rPr>
        <w:t>采购活动（项目编号：</w:t>
      </w:r>
      <w:r>
        <w:rPr>
          <w:rFonts w:hint="eastAsia" w:ascii="仿宋" w:hAnsi="仿宋" w:eastAsia="仿宋" w:cs="仿宋"/>
          <w:sz w:val="28"/>
          <w:szCs w:val="28"/>
          <w:u w:val="single"/>
        </w:rPr>
        <w:t>某编号</w:t>
      </w:r>
      <w:r>
        <w:rPr>
          <w:rFonts w:hint="eastAsia" w:ascii="仿宋" w:hAnsi="仿宋" w:eastAsia="仿宋" w:cs="仿宋"/>
          <w:sz w:val="28"/>
          <w:szCs w:val="28"/>
        </w:rPr>
        <w:t>），全权代表本公司处理投标过程的一切事宜，包括但不限于：投标、参与开标、谈判、签约等。供应商授权代表在投标过程中所签署的一切文件和处理与之有关的一切事务，本公司均予以认可并对此承担责任。供应商授权代表无转委托权。特此授权。</w:t>
      </w:r>
    </w:p>
    <w:p>
      <w:pPr>
        <w:pStyle w:val="21"/>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本授权书自出具之日起生效。</w:t>
      </w:r>
    </w:p>
    <w:p>
      <w:pPr>
        <w:spacing w:line="360" w:lineRule="auto"/>
        <w:rPr>
          <w:rFonts w:ascii="仿宋" w:hAnsi="仿宋" w:eastAsia="仿宋" w:cs="仿宋"/>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授权代表（或法定代表人）身份证明扫描件或影印件：</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b/>
          <w:bCs/>
          <w:sz w:val="28"/>
          <w:szCs w:val="28"/>
        </w:rPr>
        <w:t>授权代表（或法定代表人）联系方式：</w:t>
      </w:r>
      <w:r>
        <w:rPr>
          <w:rFonts w:hint="eastAsia" w:ascii="仿宋" w:hAnsi="仿宋" w:eastAsia="仿宋" w:cs="仿宋"/>
          <w:sz w:val="28"/>
          <w:szCs w:val="28"/>
        </w:rPr>
        <w:t>（请填写手机号码）</w:t>
      </w:r>
    </w:p>
    <w:p>
      <w:pPr>
        <w:spacing w:line="360" w:lineRule="auto"/>
        <w:ind w:firstLine="645"/>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spacing w:line="360" w:lineRule="auto"/>
        <w:rPr>
          <w:rFonts w:ascii="仿宋" w:hAnsi="仿宋" w:eastAsia="仿宋" w:cs="仿宋"/>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供应商签章：</w:t>
      </w:r>
    </w:p>
    <w:p>
      <w:pPr>
        <w:spacing w:line="360" w:lineRule="auto"/>
        <w:rPr>
          <w:rFonts w:ascii="仿宋" w:hAnsi="仿宋" w:eastAsia="仿宋" w:cs="仿宋"/>
          <w:sz w:val="28"/>
          <w:szCs w:val="28"/>
        </w:rPr>
      </w:pPr>
      <w:r>
        <w:rPr>
          <w:rFonts w:hint="eastAsia" w:ascii="仿宋" w:hAnsi="仿宋" w:eastAsia="仿宋" w:cs="仿宋"/>
          <w:sz w:val="28"/>
          <w:szCs w:val="28"/>
        </w:rPr>
        <w:t>日     期：年月日</w:t>
      </w:r>
    </w:p>
    <w:p>
      <w:pPr>
        <w:pStyle w:val="21"/>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注：</w:t>
      </w:r>
    </w:p>
    <w:p>
      <w:pPr>
        <w:pStyle w:val="21"/>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1、本项目只允许有唯一的供应商授权代表（提供身份证明扫描件或影印件及联系方式）；</w:t>
      </w:r>
    </w:p>
    <w:p>
      <w:pPr>
        <w:pStyle w:val="21"/>
        <w:snapToGrid w:val="0"/>
        <w:spacing w:line="360" w:lineRule="auto"/>
        <w:jc w:val="left"/>
        <w:rPr>
          <w:rFonts w:ascii="仿宋" w:hAnsi="仿宋" w:eastAsia="仿宋" w:cs="仿宋"/>
          <w:sz w:val="28"/>
          <w:szCs w:val="28"/>
        </w:rPr>
      </w:pPr>
      <w:r>
        <w:rPr>
          <w:rFonts w:hint="eastAsia" w:ascii="仿宋" w:hAnsi="仿宋" w:eastAsia="仿宋" w:cs="仿宋"/>
          <w:b/>
          <w:bCs/>
          <w:sz w:val="28"/>
          <w:szCs w:val="28"/>
        </w:rPr>
        <w:t>2、法定代表人参加投标的无需提供投标授权书，仅提供身份证明扫描件或影印件及联系方式即可。</w:t>
      </w:r>
    </w:p>
    <w:p>
      <w:pPr>
        <w:pStyle w:val="6"/>
        <w:spacing w:before="0" w:after="0" w:line="520" w:lineRule="exact"/>
        <w:ind w:firstLine="0"/>
        <w:rPr>
          <w:rStyle w:val="62"/>
          <w:rFonts w:ascii="仿宋" w:hAnsi="仿宋" w:eastAsia="仿宋" w:cs="仿宋"/>
          <w:b/>
          <w:bCs/>
          <w:sz w:val="28"/>
          <w:szCs w:val="28"/>
        </w:rPr>
      </w:pPr>
      <w:bookmarkStart w:id="339" w:name="_Toc21608"/>
      <w:bookmarkStart w:id="340" w:name="_Toc22696"/>
      <w:bookmarkStart w:id="341" w:name="_Toc28534"/>
      <w:bookmarkStart w:id="342" w:name="_Toc12329"/>
      <w:bookmarkStart w:id="343" w:name="_Toc9812"/>
      <w:bookmarkStart w:id="344" w:name="_Toc24853"/>
      <w:bookmarkStart w:id="345" w:name="_Toc29243"/>
      <w:bookmarkStart w:id="346" w:name="_Toc18002"/>
      <w:bookmarkStart w:id="347" w:name="_Toc101102131"/>
      <w:bookmarkStart w:id="348" w:name="_Toc26776"/>
      <w:bookmarkStart w:id="349" w:name="_Toc16423"/>
      <w:bookmarkStart w:id="350" w:name="_Toc27158"/>
      <w:r>
        <w:rPr>
          <w:rStyle w:val="62"/>
          <w:rFonts w:hint="eastAsia" w:ascii="仿宋" w:hAnsi="仿宋" w:eastAsia="仿宋" w:cs="仿宋"/>
          <w:b/>
          <w:bCs/>
          <w:sz w:val="28"/>
          <w:szCs w:val="28"/>
        </w:rPr>
        <w:t>九</w:t>
      </w:r>
      <w:r>
        <w:rPr>
          <w:rStyle w:val="62"/>
          <w:rFonts w:hint="eastAsia" w:ascii="仿宋" w:hAnsi="仿宋" w:eastAsia="仿宋" w:cs="仿宋"/>
          <w:b/>
          <w:bCs/>
          <w:kern w:val="2"/>
          <w:sz w:val="28"/>
          <w:szCs w:val="28"/>
        </w:rPr>
        <w:t>、标书响应情况</w:t>
      </w:r>
      <w:bookmarkEnd w:id="339"/>
      <w:bookmarkEnd w:id="340"/>
      <w:bookmarkEnd w:id="341"/>
      <w:bookmarkEnd w:id="342"/>
      <w:bookmarkEnd w:id="343"/>
      <w:bookmarkEnd w:id="344"/>
      <w:bookmarkEnd w:id="345"/>
      <w:bookmarkEnd w:id="346"/>
      <w:bookmarkEnd w:id="347"/>
      <w:bookmarkEnd w:id="348"/>
      <w:bookmarkEnd w:id="349"/>
      <w:bookmarkEnd w:id="350"/>
    </w:p>
    <w:p>
      <w:pPr>
        <w:rPr>
          <w:rFonts w:ascii="仿宋" w:hAnsi="仿宋" w:eastAsia="仿宋" w:cs="仿宋"/>
          <w:b/>
          <w:sz w:val="28"/>
          <w:szCs w:val="28"/>
        </w:rPr>
      </w:pPr>
    </w:p>
    <w:tbl>
      <w:tblPr>
        <w:tblStyle w:val="40"/>
        <w:tblW w:w="8850"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802"/>
        <w:gridCol w:w="1830"/>
        <w:gridCol w:w="2668"/>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770" w:type="dxa"/>
            <w:gridSpan w:val="3"/>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按</w:t>
            </w:r>
            <w:r>
              <w:rPr>
                <w:rFonts w:hint="eastAsia" w:ascii="仿宋" w:hAnsi="仿宋" w:eastAsia="仿宋" w:cs="仿宋"/>
                <w:b/>
                <w:bCs/>
                <w:sz w:val="28"/>
                <w:szCs w:val="28"/>
                <w:lang w:eastAsia="zh-CN"/>
              </w:rPr>
              <w:t>发包</w:t>
            </w:r>
            <w:r>
              <w:rPr>
                <w:rFonts w:hint="eastAsia" w:ascii="仿宋" w:hAnsi="仿宋" w:eastAsia="仿宋" w:cs="仿宋"/>
                <w:b/>
                <w:bCs/>
                <w:sz w:val="28"/>
                <w:szCs w:val="28"/>
              </w:rPr>
              <w:t>文件规定填写</w:t>
            </w:r>
          </w:p>
        </w:tc>
        <w:tc>
          <w:tcPr>
            <w:tcW w:w="4080" w:type="dxa"/>
            <w:gridSpan w:val="2"/>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850" w:type="dxa"/>
            <w:gridSpan w:val="5"/>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13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80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品名</w:t>
            </w:r>
          </w:p>
        </w:tc>
        <w:tc>
          <w:tcPr>
            <w:tcW w:w="183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技术规格及配置</w:t>
            </w:r>
          </w:p>
        </w:tc>
        <w:tc>
          <w:tcPr>
            <w:tcW w:w="2668" w:type="dxa"/>
            <w:vAlign w:val="center"/>
          </w:tcPr>
          <w:p>
            <w:pPr>
              <w:rPr>
                <w:rFonts w:hint="eastAsia" w:ascii="仿宋" w:hAnsi="仿宋" w:eastAsia="仿宋" w:cs="仿宋"/>
                <w:sz w:val="28"/>
                <w:szCs w:val="28"/>
              </w:rPr>
            </w:pPr>
            <w:r>
              <w:rPr>
                <w:rFonts w:hint="eastAsia" w:ascii="仿宋" w:hAnsi="仿宋" w:eastAsia="仿宋" w:cs="仿宋"/>
                <w:sz w:val="28"/>
                <w:szCs w:val="28"/>
              </w:rPr>
              <w:t>品牌、型号、技术规格及配置、材质</w:t>
            </w:r>
          </w:p>
        </w:tc>
        <w:tc>
          <w:tcPr>
            <w:tcW w:w="141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3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802" w:type="dxa"/>
          </w:tcPr>
          <w:p>
            <w:pPr>
              <w:rPr>
                <w:rFonts w:hint="eastAsia" w:ascii="仿宋" w:hAnsi="仿宋" w:eastAsia="仿宋" w:cs="仿宋"/>
                <w:sz w:val="28"/>
                <w:szCs w:val="28"/>
              </w:rPr>
            </w:pPr>
          </w:p>
        </w:tc>
        <w:tc>
          <w:tcPr>
            <w:tcW w:w="1830" w:type="dxa"/>
          </w:tcPr>
          <w:p>
            <w:pPr>
              <w:rPr>
                <w:rFonts w:hint="eastAsia" w:ascii="仿宋" w:hAnsi="仿宋" w:eastAsia="仿宋" w:cs="仿宋"/>
                <w:sz w:val="28"/>
                <w:szCs w:val="28"/>
              </w:rPr>
            </w:pPr>
          </w:p>
        </w:tc>
        <w:tc>
          <w:tcPr>
            <w:tcW w:w="2668" w:type="dxa"/>
          </w:tcPr>
          <w:p>
            <w:pPr>
              <w:rPr>
                <w:rFonts w:hint="eastAsia" w:ascii="仿宋" w:hAnsi="仿宋" w:eastAsia="仿宋" w:cs="仿宋"/>
                <w:sz w:val="28"/>
                <w:szCs w:val="28"/>
              </w:rPr>
            </w:pPr>
          </w:p>
        </w:tc>
        <w:tc>
          <w:tcPr>
            <w:tcW w:w="1412"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3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1802" w:type="dxa"/>
          </w:tcPr>
          <w:p>
            <w:pPr>
              <w:rPr>
                <w:rFonts w:hint="eastAsia" w:ascii="仿宋" w:hAnsi="仿宋" w:eastAsia="仿宋" w:cs="仿宋"/>
                <w:sz w:val="28"/>
                <w:szCs w:val="28"/>
              </w:rPr>
            </w:pPr>
          </w:p>
        </w:tc>
        <w:tc>
          <w:tcPr>
            <w:tcW w:w="1830" w:type="dxa"/>
          </w:tcPr>
          <w:p>
            <w:pPr>
              <w:rPr>
                <w:rFonts w:hint="eastAsia" w:ascii="仿宋" w:hAnsi="仿宋" w:eastAsia="仿宋" w:cs="仿宋"/>
                <w:sz w:val="28"/>
                <w:szCs w:val="28"/>
              </w:rPr>
            </w:pPr>
          </w:p>
        </w:tc>
        <w:tc>
          <w:tcPr>
            <w:tcW w:w="2668" w:type="dxa"/>
          </w:tcPr>
          <w:p>
            <w:pPr>
              <w:rPr>
                <w:rFonts w:hint="eastAsia" w:ascii="仿宋" w:hAnsi="仿宋" w:eastAsia="仿宋" w:cs="仿宋"/>
                <w:sz w:val="28"/>
                <w:szCs w:val="28"/>
              </w:rPr>
            </w:pPr>
          </w:p>
        </w:tc>
        <w:tc>
          <w:tcPr>
            <w:tcW w:w="1412"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3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1802" w:type="dxa"/>
          </w:tcPr>
          <w:p>
            <w:pPr>
              <w:rPr>
                <w:rFonts w:hint="eastAsia" w:ascii="仿宋" w:hAnsi="仿宋" w:eastAsia="仿宋" w:cs="仿宋"/>
                <w:sz w:val="28"/>
                <w:szCs w:val="28"/>
              </w:rPr>
            </w:pPr>
          </w:p>
        </w:tc>
        <w:tc>
          <w:tcPr>
            <w:tcW w:w="1830" w:type="dxa"/>
          </w:tcPr>
          <w:p>
            <w:pPr>
              <w:rPr>
                <w:rFonts w:hint="eastAsia" w:ascii="仿宋" w:hAnsi="仿宋" w:eastAsia="仿宋" w:cs="仿宋"/>
                <w:sz w:val="28"/>
                <w:szCs w:val="28"/>
              </w:rPr>
            </w:pPr>
          </w:p>
        </w:tc>
        <w:tc>
          <w:tcPr>
            <w:tcW w:w="2668" w:type="dxa"/>
          </w:tcPr>
          <w:p>
            <w:pPr>
              <w:rPr>
                <w:rFonts w:hint="eastAsia" w:ascii="仿宋" w:hAnsi="仿宋" w:eastAsia="仿宋" w:cs="仿宋"/>
                <w:sz w:val="28"/>
                <w:szCs w:val="28"/>
              </w:rPr>
            </w:pPr>
          </w:p>
        </w:tc>
        <w:tc>
          <w:tcPr>
            <w:tcW w:w="1412"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3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4</w:t>
            </w:r>
          </w:p>
        </w:tc>
        <w:tc>
          <w:tcPr>
            <w:tcW w:w="1802" w:type="dxa"/>
          </w:tcPr>
          <w:p>
            <w:pPr>
              <w:rPr>
                <w:rFonts w:hint="eastAsia" w:ascii="仿宋" w:hAnsi="仿宋" w:eastAsia="仿宋" w:cs="仿宋"/>
                <w:sz w:val="28"/>
                <w:szCs w:val="28"/>
              </w:rPr>
            </w:pPr>
          </w:p>
        </w:tc>
        <w:tc>
          <w:tcPr>
            <w:tcW w:w="1830" w:type="dxa"/>
          </w:tcPr>
          <w:p>
            <w:pPr>
              <w:rPr>
                <w:rFonts w:hint="eastAsia" w:ascii="仿宋" w:hAnsi="仿宋" w:eastAsia="仿宋" w:cs="仿宋"/>
                <w:sz w:val="28"/>
                <w:szCs w:val="28"/>
              </w:rPr>
            </w:pPr>
          </w:p>
        </w:tc>
        <w:tc>
          <w:tcPr>
            <w:tcW w:w="2668" w:type="dxa"/>
          </w:tcPr>
          <w:p>
            <w:pPr>
              <w:rPr>
                <w:rFonts w:hint="eastAsia" w:ascii="仿宋" w:hAnsi="仿宋" w:eastAsia="仿宋" w:cs="仿宋"/>
                <w:sz w:val="28"/>
                <w:szCs w:val="28"/>
              </w:rPr>
            </w:pPr>
          </w:p>
        </w:tc>
        <w:tc>
          <w:tcPr>
            <w:tcW w:w="1412"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50" w:type="dxa"/>
            <w:gridSpan w:val="5"/>
            <w:vAlign w:val="center"/>
          </w:tcPr>
          <w:p>
            <w:pPr>
              <w:jc w:val="center"/>
              <w:rPr>
                <w:rFonts w:hint="eastAsia" w:ascii="仿宋" w:hAnsi="仿宋" w:eastAsia="仿宋" w:cs="仿宋"/>
                <w:sz w:val="28"/>
                <w:szCs w:val="28"/>
              </w:rPr>
            </w:pPr>
            <w:r>
              <w:rPr>
                <w:rFonts w:hint="eastAsia" w:ascii="仿宋" w:hAnsi="仿宋" w:eastAsia="仿宋" w:cs="仿宋"/>
                <w:b/>
                <w:bCs/>
                <w:sz w:val="28"/>
                <w:szCs w:val="28"/>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3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80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内容</w:t>
            </w:r>
          </w:p>
        </w:tc>
        <w:tc>
          <w:tcPr>
            <w:tcW w:w="1830"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eastAsia="zh-CN"/>
              </w:rPr>
              <w:t>发包</w:t>
            </w:r>
            <w:r>
              <w:rPr>
                <w:rFonts w:hint="eastAsia" w:ascii="仿宋" w:hAnsi="仿宋" w:eastAsia="仿宋" w:cs="仿宋"/>
                <w:sz w:val="28"/>
                <w:szCs w:val="28"/>
              </w:rPr>
              <w:t>文件要求</w:t>
            </w:r>
          </w:p>
        </w:tc>
        <w:tc>
          <w:tcPr>
            <w:tcW w:w="266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响应承诺</w:t>
            </w:r>
          </w:p>
        </w:tc>
        <w:tc>
          <w:tcPr>
            <w:tcW w:w="141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3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80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供货及安装期限</w:t>
            </w:r>
          </w:p>
        </w:tc>
        <w:tc>
          <w:tcPr>
            <w:tcW w:w="1830" w:type="dxa"/>
          </w:tcPr>
          <w:p>
            <w:pPr>
              <w:rPr>
                <w:rFonts w:hint="eastAsia" w:ascii="仿宋" w:hAnsi="仿宋" w:eastAsia="仿宋" w:cs="仿宋"/>
                <w:sz w:val="28"/>
                <w:szCs w:val="28"/>
              </w:rPr>
            </w:pPr>
          </w:p>
        </w:tc>
        <w:tc>
          <w:tcPr>
            <w:tcW w:w="2668" w:type="dxa"/>
          </w:tcPr>
          <w:p>
            <w:pPr>
              <w:rPr>
                <w:rFonts w:hint="eastAsia" w:ascii="仿宋" w:hAnsi="仿宋" w:eastAsia="仿宋" w:cs="仿宋"/>
                <w:sz w:val="28"/>
                <w:szCs w:val="28"/>
              </w:rPr>
            </w:pPr>
          </w:p>
        </w:tc>
        <w:tc>
          <w:tcPr>
            <w:tcW w:w="1412"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3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1802" w:type="dxa"/>
            <w:vAlign w:val="center"/>
          </w:tcPr>
          <w:p>
            <w:pPr>
              <w:rPr>
                <w:rFonts w:hint="eastAsia" w:ascii="仿宋" w:hAnsi="仿宋" w:eastAsia="仿宋" w:cs="仿宋"/>
                <w:sz w:val="28"/>
                <w:szCs w:val="28"/>
              </w:rPr>
            </w:pPr>
            <w:r>
              <w:rPr>
                <w:rFonts w:hint="eastAsia" w:ascii="仿宋" w:hAnsi="仿宋" w:eastAsia="仿宋" w:cs="仿宋"/>
                <w:sz w:val="28"/>
                <w:szCs w:val="28"/>
              </w:rPr>
              <w:t>免费质保期</w:t>
            </w:r>
          </w:p>
        </w:tc>
        <w:tc>
          <w:tcPr>
            <w:tcW w:w="1830" w:type="dxa"/>
          </w:tcPr>
          <w:p>
            <w:pPr>
              <w:rPr>
                <w:rFonts w:hint="eastAsia" w:ascii="仿宋" w:hAnsi="仿宋" w:eastAsia="仿宋" w:cs="仿宋"/>
                <w:sz w:val="28"/>
                <w:szCs w:val="28"/>
              </w:rPr>
            </w:pPr>
          </w:p>
        </w:tc>
        <w:tc>
          <w:tcPr>
            <w:tcW w:w="2668" w:type="dxa"/>
          </w:tcPr>
          <w:p>
            <w:pPr>
              <w:rPr>
                <w:rFonts w:hint="eastAsia" w:ascii="仿宋" w:hAnsi="仿宋" w:eastAsia="仿宋" w:cs="仿宋"/>
                <w:sz w:val="28"/>
                <w:szCs w:val="28"/>
              </w:rPr>
            </w:pPr>
          </w:p>
        </w:tc>
        <w:tc>
          <w:tcPr>
            <w:tcW w:w="1412"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3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180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付款响应</w:t>
            </w:r>
          </w:p>
        </w:tc>
        <w:tc>
          <w:tcPr>
            <w:tcW w:w="1830" w:type="dxa"/>
          </w:tcPr>
          <w:p>
            <w:pPr>
              <w:rPr>
                <w:rFonts w:hint="eastAsia" w:ascii="仿宋" w:hAnsi="仿宋" w:eastAsia="仿宋" w:cs="仿宋"/>
                <w:sz w:val="28"/>
                <w:szCs w:val="28"/>
              </w:rPr>
            </w:pPr>
          </w:p>
        </w:tc>
        <w:tc>
          <w:tcPr>
            <w:tcW w:w="2668" w:type="dxa"/>
          </w:tcPr>
          <w:p>
            <w:pPr>
              <w:rPr>
                <w:rFonts w:hint="eastAsia" w:ascii="仿宋" w:hAnsi="仿宋" w:eastAsia="仿宋" w:cs="仿宋"/>
                <w:sz w:val="28"/>
                <w:szCs w:val="28"/>
              </w:rPr>
            </w:pPr>
          </w:p>
        </w:tc>
        <w:tc>
          <w:tcPr>
            <w:tcW w:w="1412"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3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4</w:t>
            </w:r>
          </w:p>
        </w:tc>
        <w:tc>
          <w:tcPr>
            <w:tcW w:w="180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其他</w:t>
            </w:r>
          </w:p>
        </w:tc>
        <w:tc>
          <w:tcPr>
            <w:tcW w:w="1830" w:type="dxa"/>
          </w:tcPr>
          <w:p>
            <w:pPr>
              <w:rPr>
                <w:rFonts w:hint="eastAsia" w:ascii="仿宋" w:hAnsi="仿宋" w:eastAsia="仿宋" w:cs="仿宋"/>
                <w:sz w:val="28"/>
                <w:szCs w:val="28"/>
              </w:rPr>
            </w:pPr>
          </w:p>
        </w:tc>
        <w:tc>
          <w:tcPr>
            <w:tcW w:w="2668" w:type="dxa"/>
          </w:tcPr>
          <w:p>
            <w:pPr>
              <w:rPr>
                <w:rFonts w:hint="eastAsia" w:ascii="仿宋" w:hAnsi="仿宋" w:eastAsia="仿宋" w:cs="仿宋"/>
                <w:sz w:val="28"/>
                <w:szCs w:val="28"/>
              </w:rPr>
            </w:pPr>
          </w:p>
        </w:tc>
        <w:tc>
          <w:tcPr>
            <w:tcW w:w="1412" w:type="dxa"/>
          </w:tcPr>
          <w:p>
            <w:pPr>
              <w:rPr>
                <w:rFonts w:hint="eastAsia" w:ascii="仿宋" w:hAnsi="仿宋" w:eastAsia="仿宋" w:cs="仿宋"/>
                <w:sz w:val="28"/>
                <w:szCs w:val="28"/>
              </w:rPr>
            </w:pPr>
          </w:p>
        </w:tc>
      </w:tr>
    </w:tbl>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8"/>
          <w:szCs w:val="28"/>
        </w:rPr>
      </w:pPr>
      <w:r>
        <w:rPr>
          <w:rFonts w:hint="eastAsia" w:ascii="仿宋" w:hAnsi="仿宋" w:eastAsia="仿宋" w:cs="仿宋"/>
          <w:bCs/>
          <w:sz w:val="28"/>
          <w:szCs w:val="28"/>
        </w:rPr>
        <w:t>1、供应商必须逐项对应描述货物主要参数、材质、配置及服务要求，如不进行描述，仅在响应栏填“响应”或未填写或复制（包括全部复制或主要参数及配置的复制）</w:t>
      </w:r>
      <w:r>
        <w:rPr>
          <w:rFonts w:hint="eastAsia" w:ascii="仿宋" w:hAnsi="仿宋" w:eastAsia="仿宋" w:cs="仿宋"/>
          <w:bCs/>
          <w:sz w:val="28"/>
          <w:szCs w:val="28"/>
          <w:lang w:eastAsia="zh-CN"/>
        </w:rPr>
        <w:t>发包</w:t>
      </w:r>
      <w:r>
        <w:rPr>
          <w:rFonts w:hint="eastAsia" w:ascii="仿宋" w:hAnsi="仿宋" w:eastAsia="仿宋" w:cs="仿宋"/>
          <w:bCs/>
          <w:sz w:val="28"/>
          <w:szCs w:val="28"/>
        </w:rPr>
        <w:t>文件技术参数的，包括有选择性的技术响应（例如在某一分项中出现两个及以上的品牌或两种及两种以上的技术规格），均可能导致响应无效；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8"/>
          <w:szCs w:val="28"/>
        </w:rPr>
      </w:pPr>
      <w:r>
        <w:rPr>
          <w:rFonts w:hint="eastAsia" w:ascii="仿宋" w:hAnsi="仿宋" w:eastAsia="仿宋" w:cs="仿宋"/>
          <w:bCs/>
          <w:sz w:val="28"/>
          <w:szCs w:val="28"/>
        </w:rPr>
        <w:t>2、供应商所供产品如与</w:t>
      </w:r>
      <w:r>
        <w:rPr>
          <w:rFonts w:hint="eastAsia" w:ascii="仿宋" w:hAnsi="仿宋" w:eastAsia="仿宋" w:cs="仿宋"/>
          <w:bCs/>
          <w:sz w:val="28"/>
          <w:szCs w:val="28"/>
          <w:lang w:eastAsia="zh-CN"/>
        </w:rPr>
        <w:t>发包</w:t>
      </w:r>
      <w:r>
        <w:rPr>
          <w:rFonts w:hint="eastAsia" w:ascii="仿宋" w:hAnsi="仿宋" w:eastAsia="仿宋" w:cs="仿宋"/>
          <w:bCs/>
          <w:sz w:val="28"/>
          <w:szCs w:val="28"/>
        </w:rPr>
        <w:t>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8"/>
          <w:szCs w:val="28"/>
        </w:rPr>
      </w:pPr>
      <w:r>
        <w:rPr>
          <w:rFonts w:hint="eastAsia" w:ascii="仿宋" w:hAnsi="仿宋" w:eastAsia="仿宋" w:cs="仿宋"/>
          <w:bCs/>
          <w:sz w:val="28"/>
          <w:szCs w:val="28"/>
        </w:rPr>
        <w:t>3、响应部分可后附详细说明及技术资料。</w:t>
      </w:r>
    </w:p>
    <w:p>
      <w:pPr>
        <w:spacing w:afterLines="100" w:line="520" w:lineRule="exact"/>
        <w:ind w:firstLine="560" w:firstLineChars="200"/>
        <w:rPr>
          <w:rFonts w:ascii="仿宋" w:hAnsi="仿宋" w:eastAsia="仿宋" w:cs="仿宋"/>
          <w:sz w:val="28"/>
          <w:szCs w:val="28"/>
        </w:rPr>
      </w:pPr>
    </w:p>
    <w:p>
      <w:pPr>
        <w:rPr>
          <w:rFonts w:ascii="仿宋" w:hAnsi="仿宋" w:eastAsia="仿宋" w:cs="仿宋"/>
          <w:sz w:val="28"/>
          <w:szCs w:val="28"/>
        </w:rPr>
      </w:pPr>
    </w:p>
    <w:p>
      <w:pPr>
        <w:spacing w:line="360" w:lineRule="auto"/>
        <w:ind w:right="480"/>
        <w:jc w:val="center"/>
        <w:rPr>
          <w:rFonts w:ascii="仿宋" w:hAnsi="仿宋" w:eastAsia="仿宋" w:cs="仿宋"/>
          <w:b/>
          <w:bCs/>
          <w:sz w:val="28"/>
          <w:szCs w:val="28"/>
        </w:rPr>
      </w:pPr>
      <w:r>
        <w:rPr>
          <w:rFonts w:hint="eastAsia" w:ascii="仿宋" w:hAnsi="仿宋" w:eastAsia="仿宋" w:cs="仿宋"/>
          <w:b/>
          <w:bCs/>
          <w:sz w:val="28"/>
          <w:szCs w:val="28"/>
        </w:rPr>
        <w:t xml:space="preserve">                                        供应商盖章：</w:t>
      </w:r>
    </w:p>
    <w:p>
      <w:pPr>
        <w:ind w:firstLine="5060" w:firstLineChars="1800"/>
        <w:jc w:val="center"/>
        <w:rPr>
          <w:rFonts w:ascii="仿宋" w:hAnsi="仿宋" w:eastAsia="仿宋" w:cs="仿宋"/>
          <w:b/>
          <w:bCs/>
          <w:sz w:val="28"/>
          <w:szCs w:val="28"/>
        </w:rPr>
      </w:pPr>
      <w:r>
        <w:rPr>
          <w:rFonts w:hint="eastAsia" w:ascii="仿宋" w:hAnsi="仿宋" w:eastAsia="仿宋" w:cs="仿宋"/>
          <w:b/>
          <w:bCs/>
          <w:sz w:val="28"/>
          <w:szCs w:val="28"/>
        </w:rPr>
        <w:t>日    期：年月日</w:t>
      </w:r>
    </w:p>
    <w:p>
      <w:pPr>
        <w:rPr>
          <w:rFonts w:ascii="仿宋" w:hAnsi="仿宋" w:eastAsia="仿宋" w:cs="仿宋"/>
          <w:b/>
          <w:bCs/>
          <w:sz w:val="28"/>
          <w:szCs w:val="28"/>
        </w:rPr>
      </w:pPr>
    </w:p>
    <w:p>
      <w:pPr>
        <w:pStyle w:val="6"/>
        <w:spacing w:before="140" w:after="140" w:line="520" w:lineRule="exact"/>
        <w:ind w:firstLine="0"/>
        <w:rPr>
          <w:rFonts w:ascii="仿宋" w:hAnsi="仿宋" w:eastAsia="仿宋" w:cs="仿宋"/>
          <w:b w:val="0"/>
          <w:bCs w:val="0"/>
          <w:sz w:val="28"/>
          <w:szCs w:val="28"/>
        </w:rPr>
      </w:pPr>
      <w:r>
        <w:rPr>
          <w:rFonts w:hint="eastAsia" w:ascii="仿宋" w:hAnsi="仿宋" w:eastAsia="仿宋" w:cs="仿宋"/>
          <w:sz w:val="28"/>
          <w:szCs w:val="28"/>
        </w:rPr>
        <w:br w:type="page"/>
      </w:r>
      <w:bookmarkStart w:id="351" w:name="_Toc25733"/>
      <w:bookmarkStart w:id="352" w:name="_Toc24800"/>
      <w:bookmarkStart w:id="353" w:name="_Toc2043"/>
      <w:bookmarkStart w:id="354" w:name="_Toc1846"/>
      <w:bookmarkStart w:id="355" w:name="_Toc20979"/>
      <w:bookmarkStart w:id="356" w:name="_Toc1379"/>
      <w:bookmarkStart w:id="357" w:name="_Toc17326"/>
      <w:bookmarkStart w:id="358" w:name="_Toc4087"/>
      <w:bookmarkStart w:id="359" w:name="_Toc6980"/>
      <w:bookmarkStart w:id="360" w:name="_Toc26073"/>
      <w:bookmarkStart w:id="361" w:name="_Toc101102132"/>
      <w:bookmarkStart w:id="362" w:name="_Toc7055"/>
      <w:r>
        <w:rPr>
          <w:rStyle w:val="62"/>
          <w:rFonts w:hint="eastAsia" w:ascii="仿宋" w:hAnsi="仿宋" w:eastAsia="仿宋" w:cs="仿宋"/>
          <w:b/>
          <w:bCs/>
          <w:sz w:val="28"/>
          <w:szCs w:val="28"/>
        </w:rPr>
        <w:t>十、技术标部分</w:t>
      </w:r>
      <w:bookmarkEnd w:id="351"/>
      <w:bookmarkEnd w:id="352"/>
      <w:bookmarkEnd w:id="353"/>
      <w:bookmarkEnd w:id="354"/>
      <w:bookmarkEnd w:id="355"/>
      <w:bookmarkEnd w:id="356"/>
      <w:bookmarkEnd w:id="357"/>
      <w:bookmarkEnd w:id="358"/>
      <w:bookmarkEnd w:id="359"/>
      <w:bookmarkEnd w:id="360"/>
      <w:bookmarkEnd w:id="361"/>
      <w:bookmarkEnd w:id="362"/>
    </w:p>
    <w:p>
      <w:pPr>
        <w:rPr>
          <w:rFonts w:ascii="仿宋" w:hAnsi="仿宋" w:eastAsia="仿宋" w:cs="仿宋"/>
          <w:sz w:val="28"/>
          <w:szCs w:val="28"/>
        </w:rPr>
      </w:pPr>
    </w:p>
    <w:p>
      <w:pPr>
        <w:tabs>
          <w:tab w:val="left" w:pos="4620"/>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（一）提供符合采购需求及评审办法规定的相关证明文件及方案。</w:t>
      </w:r>
    </w:p>
    <w:p>
      <w:pPr>
        <w:pStyle w:val="21"/>
        <w:snapToGrid w:val="0"/>
        <w:spacing w:line="560" w:lineRule="exact"/>
        <w:ind w:firstLine="482"/>
        <w:jc w:val="left"/>
        <w:rPr>
          <w:rFonts w:ascii="仿宋" w:hAnsi="仿宋" w:eastAsia="仿宋" w:cs="仿宋"/>
          <w:sz w:val="28"/>
          <w:szCs w:val="28"/>
        </w:rPr>
      </w:pPr>
      <w:r>
        <w:rPr>
          <w:rFonts w:hint="eastAsia" w:ascii="仿宋" w:hAnsi="仿宋" w:eastAsia="仿宋" w:cs="仿宋"/>
          <w:sz w:val="28"/>
          <w:szCs w:val="28"/>
        </w:rPr>
        <w:t>（二）请各供应商在响应文件制作时，在此栏内按采购需求及技术标评分要求，附所有涉及评分需要的证明材料原件扫描件。</w:t>
      </w: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 （三）因漏附或误附等造成的一切后果，由供应商自行承担。</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line="360" w:lineRule="auto"/>
        <w:rPr>
          <w:rFonts w:ascii="仿宋" w:hAnsi="仿宋" w:eastAsia="仿宋" w:cs="仿宋"/>
          <w:bCs/>
          <w:sz w:val="28"/>
          <w:szCs w:val="28"/>
        </w:rPr>
      </w:pPr>
      <w:r>
        <w:rPr>
          <w:rFonts w:hint="eastAsia" w:ascii="仿宋" w:hAnsi="仿宋" w:eastAsia="仿宋" w:cs="仿宋"/>
          <w:b/>
          <w:bCs/>
          <w:sz w:val="28"/>
          <w:szCs w:val="28"/>
        </w:rPr>
        <w:br w:type="page"/>
      </w:r>
      <w:bookmarkEnd w:id="230"/>
      <w:bookmarkEnd w:id="231"/>
      <w:bookmarkEnd w:id="232"/>
      <w:bookmarkEnd w:id="233"/>
    </w:p>
    <w:p>
      <w:pPr>
        <w:snapToGrid w:val="0"/>
        <w:spacing w:line="360" w:lineRule="auto"/>
        <w:rPr>
          <w:rFonts w:ascii="仿宋" w:hAnsi="仿宋" w:eastAsia="仿宋" w:cs="仿宋"/>
          <w:bCs/>
          <w:sz w:val="28"/>
          <w:szCs w:val="28"/>
        </w:rPr>
      </w:pPr>
    </w:p>
    <w:p>
      <w:pPr>
        <w:pStyle w:val="6"/>
        <w:spacing w:before="140" w:after="140" w:line="520" w:lineRule="exact"/>
        <w:ind w:firstLine="0"/>
        <w:rPr>
          <w:rStyle w:val="62"/>
          <w:rFonts w:ascii="仿宋" w:hAnsi="仿宋" w:eastAsia="仿宋" w:cs="仿宋"/>
          <w:b/>
          <w:bCs/>
          <w:sz w:val="28"/>
          <w:szCs w:val="28"/>
        </w:rPr>
      </w:pPr>
      <w:bookmarkStart w:id="363" w:name="_Toc15174"/>
      <w:bookmarkStart w:id="364" w:name="_Toc659"/>
      <w:bookmarkStart w:id="365" w:name="_Toc7341"/>
      <w:bookmarkStart w:id="366" w:name="_Toc17057"/>
      <w:bookmarkStart w:id="367" w:name="_Toc9232"/>
      <w:bookmarkStart w:id="368" w:name="_Toc22874"/>
      <w:bookmarkStart w:id="369" w:name="_Toc8226"/>
      <w:bookmarkStart w:id="370" w:name="_Toc101102133"/>
      <w:bookmarkStart w:id="371" w:name="_Toc11552"/>
      <w:bookmarkStart w:id="372" w:name="_Toc29203"/>
      <w:bookmarkStart w:id="373" w:name="_Toc16199"/>
      <w:bookmarkStart w:id="374" w:name="_Toc11671"/>
      <w:r>
        <w:rPr>
          <w:rStyle w:val="62"/>
          <w:rFonts w:hint="eastAsia" w:ascii="仿宋" w:hAnsi="仿宋" w:eastAsia="仿宋" w:cs="仿宋"/>
          <w:b/>
          <w:bCs/>
          <w:sz w:val="28"/>
          <w:szCs w:val="28"/>
        </w:rPr>
        <w:t>十一、供应认为需要提供的其他资料</w:t>
      </w:r>
      <w:bookmarkEnd w:id="363"/>
      <w:bookmarkEnd w:id="364"/>
      <w:bookmarkEnd w:id="365"/>
      <w:bookmarkEnd w:id="366"/>
      <w:bookmarkEnd w:id="367"/>
      <w:bookmarkEnd w:id="368"/>
      <w:bookmarkEnd w:id="369"/>
      <w:bookmarkEnd w:id="370"/>
    </w:p>
    <w:bookmarkEnd w:id="371"/>
    <w:bookmarkEnd w:id="372"/>
    <w:bookmarkEnd w:id="373"/>
    <w:bookmarkEnd w:id="374"/>
    <w:p>
      <w:pPr>
        <w:pStyle w:val="2"/>
        <w:ind w:right="-21" w:firstLine="632"/>
        <w:rPr>
          <w:rFonts w:ascii="仿宋" w:hAnsi="仿宋" w:eastAsia="仿宋" w:cs="仿宋"/>
          <w:b/>
          <w:bCs/>
          <w:sz w:val="28"/>
          <w:szCs w:val="28"/>
        </w:rPr>
      </w:pPr>
    </w:p>
    <w:p>
      <w:pPr>
        <w:pStyle w:val="2"/>
        <w:ind w:right="-21" w:firstLine="632"/>
        <w:rPr>
          <w:rFonts w:ascii="仿宋" w:hAnsi="仿宋" w:eastAsia="仿宋" w:cs="仿宋"/>
          <w:b/>
          <w:bCs/>
          <w:sz w:val="28"/>
          <w:szCs w:val="28"/>
        </w:rPr>
      </w:pPr>
    </w:p>
    <w:p>
      <w:pPr>
        <w:pStyle w:val="2"/>
        <w:ind w:right="-21" w:firstLine="632"/>
        <w:rPr>
          <w:rFonts w:ascii="仿宋" w:hAnsi="仿宋" w:eastAsia="仿宋" w:cs="仿宋"/>
          <w:b/>
          <w:bCs/>
          <w:sz w:val="28"/>
          <w:szCs w:val="28"/>
        </w:rPr>
      </w:pPr>
    </w:p>
    <w:p>
      <w:pPr>
        <w:pStyle w:val="2"/>
        <w:ind w:right="-21" w:firstLine="632"/>
        <w:rPr>
          <w:rFonts w:ascii="仿宋" w:hAnsi="仿宋" w:eastAsia="仿宋" w:cs="仿宋"/>
          <w:b/>
          <w:bCs/>
          <w:sz w:val="28"/>
          <w:szCs w:val="28"/>
        </w:rPr>
      </w:pPr>
    </w:p>
    <w:p>
      <w:pPr>
        <w:pStyle w:val="2"/>
        <w:ind w:right="-21" w:firstLine="632"/>
        <w:rPr>
          <w:rFonts w:ascii="仿宋" w:hAnsi="仿宋" w:eastAsia="仿宋" w:cs="仿宋"/>
          <w:b/>
          <w:bCs/>
          <w:sz w:val="28"/>
          <w:szCs w:val="28"/>
        </w:rPr>
      </w:pPr>
    </w:p>
    <w:p>
      <w:pPr>
        <w:pStyle w:val="2"/>
        <w:ind w:right="-21" w:firstLine="632"/>
        <w:rPr>
          <w:rFonts w:ascii="仿宋" w:hAnsi="仿宋" w:eastAsia="仿宋" w:cs="仿宋"/>
          <w:b/>
          <w:bCs/>
          <w:sz w:val="28"/>
          <w:szCs w:val="28"/>
        </w:rPr>
      </w:pPr>
    </w:p>
    <w:p>
      <w:pPr>
        <w:pStyle w:val="2"/>
        <w:ind w:right="-21" w:firstLine="632"/>
        <w:rPr>
          <w:rFonts w:ascii="仿宋" w:hAnsi="仿宋" w:eastAsia="仿宋" w:cs="仿宋"/>
          <w:b/>
          <w:bCs/>
          <w:sz w:val="28"/>
          <w:szCs w:val="28"/>
        </w:rPr>
      </w:pPr>
    </w:p>
    <w:p>
      <w:pPr>
        <w:pStyle w:val="2"/>
        <w:ind w:right="-21" w:firstLine="632"/>
        <w:rPr>
          <w:rFonts w:ascii="仿宋" w:hAnsi="仿宋" w:eastAsia="仿宋" w:cs="仿宋"/>
          <w:b/>
          <w:bCs/>
          <w:sz w:val="28"/>
          <w:szCs w:val="28"/>
        </w:rPr>
      </w:pPr>
    </w:p>
    <w:p>
      <w:pPr>
        <w:pStyle w:val="2"/>
        <w:ind w:right="-21" w:firstLine="632"/>
        <w:rPr>
          <w:rFonts w:ascii="仿宋" w:hAnsi="仿宋" w:eastAsia="仿宋" w:cs="仿宋"/>
          <w:b/>
          <w:bCs/>
          <w:sz w:val="28"/>
          <w:szCs w:val="28"/>
        </w:rPr>
      </w:pPr>
    </w:p>
    <w:p>
      <w:pPr>
        <w:pStyle w:val="2"/>
        <w:ind w:right="-21" w:firstLine="632"/>
        <w:rPr>
          <w:rFonts w:ascii="仿宋" w:hAnsi="仿宋" w:eastAsia="仿宋" w:cs="仿宋"/>
          <w:b/>
          <w:bCs/>
          <w:sz w:val="28"/>
          <w:szCs w:val="28"/>
        </w:rPr>
      </w:pPr>
    </w:p>
    <w:p>
      <w:pPr>
        <w:pStyle w:val="2"/>
        <w:ind w:right="-21" w:firstLine="632"/>
        <w:rPr>
          <w:rFonts w:ascii="仿宋" w:hAnsi="仿宋" w:eastAsia="仿宋" w:cs="仿宋"/>
          <w:b/>
          <w:bCs/>
          <w:sz w:val="28"/>
          <w:szCs w:val="28"/>
        </w:rPr>
      </w:pPr>
    </w:p>
    <w:p>
      <w:pPr>
        <w:pStyle w:val="2"/>
        <w:ind w:right="-21" w:firstLine="632"/>
        <w:rPr>
          <w:rFonts w:ascii="仿宋" w:hAnsi="仿宋" w:eastAsia="仿宋" w:cs="仿宋"/>
          <w:b/>
          <w:bCs/>
          <w:sz w:val="28"/>
          <w:szCs w:val="28"/>
        </w:rPr>
      </w:pPr>
    </w:p>
    <w:p>
      <w:pPr>
        <w:tabs>
          <w:tab w:val="left" w:pos="630"/>
        </w:tabs>
        <w:spacing w:line="360" w:lineRule="auto"/>
        <w:ind w:firstLine="630"/>
        <w:rPr>
          <w:rFonts w:ascii="仿宋" w:hAnsi="仿宋" w:eastAsia="仿宋" w:cs="仿宋"/>
          <w:sz w:val="28"/>
          <w:szCs w:val="28"/>
        </w:rPr>
      </w:pPr>
    </w:p>
    <w:p>
      <w:pPr>
        <w:tabs>
          <w:tab w:val="left" w:pos="630"/>
        </w:tabs>
        <w:spacing w:line="360" w:lineRule="auto"/>
        <w:ind w:firstLine="630"/>
        <w:rPr>
          <w:rFonts w:ascii="仿宋" w:hAnsi="仿宋" w:eastAsia="仿宋" w:cs="仿宋"/>
          <w:sz w:val="28"/>
          <w:szCs w:val="28"/>
        </w:rPr>
      </w:pPr>
    </w:p>
    <w:p>
      <w:pPr>
        <w:tabs>
          <w:tab w:val="left" w:pos="630"/>
        </w:tabs>
        <w:spacing w:line="360" w:lineRule="auto"/>
        <w:ind w:firstLine="630"/>
        <w:rPr>
          <w:rFonts w:ascii="仿宋" w:hAnsi="仿宋" w:eastAsia="仿宋" w:cs="仿宋"/>
          <w:sz w:val="28"/>
          <w:szCs w:val="28"/>
        </w:rPr>
      </w:pPr>
    </w:p>
    <w:bookmarkEnd w:id="221"/>
    <w:bookmarkEnd w:id="222"/>
    <w:bookmarkEnd w:id="223"/>
    <w:bookmarkEnd w:id="224"/>
    <w:p>
      <w:pPr>
        <w:tabs>
          <w:tab w:val="left" w:pos="4620"/>
        </w:tabs>
        <w:spacing w:line="360" w:lineRule="auto"/>
        <w:rPr>
          <w:rFonts w:ascii="仿宋" w:hAnsi="仿宋" w:eastAsia="仿宋" w:cs="仿宋"/>
          <w:sz w:val="28"/>
          <w:szCs w:val="28"/>
        </w:rPr>
      </w:pPr>
    </w:p>
    <w:p>
      <w:pPr>
        <w:spacing w:beforeLines="20" w:afterLines="20" w:line="360" w:lineRule="auto"/>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630"/>
        <w:rPr>
          <w:rFonts w:ascii="仿宋" w:hAnsi="仿宋" w:eastAsia="仿宋" w:cs="仿宋"/>
          <w:sz w:val="28"/>
          <w:szCs w:val="28"/>
        </w:rPr>
      </w:pPr>
    </w:p>
    <w:p>
      <w:pPr>
        <w:pStyle w:val="2"/>
        <w:ind w:right="-21" w:firstLine="0" w:firstLineChars="0"/>
        <w:rPr>
          <w:rFonts w:ascii="仿宋" w:hAnsi="仿宋" w:eastAsia="仿宋" w:cs="仿宋"/>
          <w:sz w:val="28"/>
          <w:szCs w:val="28"/>
        </w:rPr>
      </w:pPr>
    </w:p>
    <w:sectPr>
      <w:footerReference r:id="rId4" w:type="default"/>
      <w:pgSz w:w="11906" w:h="16840"/>
      <w:pgMar w:top="1440" w:right="1984" w:bottom="1440" w:left="1984" w:header="851" w:footer="992" w:gutter="0"/>
      <w:pgBorders>
        <w:top w:val="none" w:sz="0" w:space="0"/>
        <w:left w:val="none" w:sz="0" w:space="0"/>
        <w:bottom w:val="none" w:sz="0" w:space="0"/>
        <w:right w:val="none" w:sz="0" w:space="0"/>
      </w:pgBorders>
      <w:cols w:space="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幼圆">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文本框 1"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35</w:t>
                </w:r>
                <w:r>
                  <w:fldChar w:fldCharType="end"/>
                </w:r>
              </w:p>
            </w:txbxContent>
          </v:textbox>
        </v:shape>
      </w:pict>
    </w:r>
    <w:r>
      <w:pict>
        <v:shape id="文本框 4"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7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9"/>
    <w:multiLevelType w:val="multilevel"/>
    <w:tmpl w:val="00000009"/>
    <w:lvl w:ilvl="0" w:tentative="0">
      <w:start w:val="1"/>
      <w:numFmt w:val="decimal"/>
      <w:pStyle w:val="85"/>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86"/>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96"/>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000000A"/>
    <w:multiLevelType w:val="multilevel"/>
    <w:tmpl w:val="0000000A"/>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97"/>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3">
    <w:nsid w:val="13CDE9B2"/>
    <w:multiLevelType w:val="singleLevel"/>
    <w:tmpl w:val="13CDE9B2"/>
    <w:lvl w:ilvl="0" w:tentative="0">
      <w:start w:val="6"/>
      <w:numFmt w:val="chineseCounting"/>
      <w:suff w:val="space"/>
      <w:lvlText w:val="第%1章"/>
      <w:lvlJc w:val="left"/>
      <w:rPr>
        <w:rFonts w:hint="eastAsia"/>
      </w:rPr>
    </w:lvl>
  </w:abstractNum>
  <w:abstractNum w:abstractNumId="4">
    <w:nsid w:val="32EB8FB7"/>
    <w:multiLevelType w:val="singleLevel"/>
    <w:tmpl w:val="32EB8FB7"/>
    <w:lvl w:ilvl="0" w:tentative="0">
      <w:start w:val="2"/>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revisionView w:markup="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FiYWIzNGQwODhmZTUyMmYzNmM4ZGU2MDIyN2ZlYjIifQ=="/>
  </w:docVars>
  <w:rsids>
    <w:rsidRoot w:val="00640DA4"/>
    <w:rsid w:val="0000083A"/>
    <w:rsid w:val="000174C9"/>
    <w:rsid w:val="0004580F"/>
    <w:rsid w:val="000837DA"/>
    <w:rsid w:val="000A0878"/>
    <w:rsid w:val="00103504"/>
    <w:rsid w:val="001113A1"/>
    <w:rsid w:val="00155FA6"/>
    <w:rsid w:val="0017052D"/>
    <w:rsid w:val="00180187"/>
    <w:rsid w:val="001833AD"/>
    <w:rsid w:val="00192C8C"/>
    <w:rsid w:val="001B549F"/>
    <w:rsid w:val="001E3998"/>
    <w:rsid w:val="001F385E"/>
    <w:rsid w:val="00245861"/>
    <w:rsid w:val="00251962"/>
    <w:rsid w:val="002903A8"/>
    <w:rsid w:val="002936CA"/>
    <w:rsid w:val="002C41B9"/>
    <w:rsid w:val="002E63CF"/>
    <w:rsid w:val="00312065"/>
    <w:rsid w:val="00312118"/>
    <w:rsid w:val="0031533A"/>
    <w:rsid w:val="003200D2"/>
    <w:rsid w:val="00362D4E"/>
    <w:rsid w:val="00365CDD"/>
    <w:rsid w:val="0038423E"/>
    <w:rsid w:val="0042777B"/>
    <w:rsid w:val="00452103"/>
    <w:rsid w:val="0046480A"/>
    <w:rsid w:val="00474A6D"/>
    <w:rsid w:val="0049087E"/>
    <w:rsid w:val="004957CA"/>
    <w:rsid w:val="004A13FB"/>
    <w:rsid w:val="004C692D"/>
    <w:rsid w:val="004D504D"/>
    <w:rsid w:val="004E5303"/>
    <w:rsid w:val="004F4E37"/>
    <w:rsid w:val="005022EA"/>
    <w:rsid w:val="005302D2"/>
    <w:rsid w:val="00555294"/>
    <w:rsid w:val="005B7EA4"/>
    <w:rsid w:val="005E0030"/>
    <w:rsid w:val="006049C7"/>
    <w:rsid w:val="00640DA4"/>
    <w:rsid w:val="00641B5D"/>
    <w:rsid w:val="00643746"/>
    <w:rsid w:val="00644261"/>
    <w:rsid w:val="0065131D"/>
    <w:rsid w:val="00653657"/>
    <w:rsid w:val="00683235"/>
    <w:rsid w:val="006978E0"/>
    <w:rsid w:val="006A0288"/>
    <w:rsid w:val="006A2B3A"/>
    <w:rsid w:val="006B2446"/>
    <w:rsid w:val="006C31CD"/>
    <w:rsid w:val="006D46FB"/>
    <w:rsid w:val="0073226F"/>
    <w:rsid w:val="0076466E"/>
    <w:rsid w:val="00771312"/>
    <w:rsid w:val="00790248"/>
    <w:rsid w:val="007F501F"/>
    <w:rsid w:val="00807D22"/>
    <w:rsid w:val="00856AA9"/>
    <w:rsid w:val="00867391"/>
    <w:rsid w:val="00876995"/>
    <w:rsid w:val="00890BA2"/>
    <w:rsid w:val="008B2A95"/>
    <w:rsid w:val="0092147F"/>
    <w:rsid w:val="00921844"/>
    <w:rsid w:val="00927685"/>
    <w:rsid w:val="00954A90"/>
    <w:rsid w:val="00963AC1"/>
    <w:rsid w:val="00963AD1"/>
    <w:rsid w:val="00975223"/>
    <w:rsid w:val="00986CED"/>
    <w:rsid w:val="00992CF4"/>
    <w:rsid w:val="009A2A0D"/>
    <w:rsid w:val="009C1DD6"/>
    <w:rsid w:val="009D1DA4"/>
    <w:rsid w:val="009D7EC6"/>
    <w:rsid w:val="009F0163"/>
    <w:rsid w:val="009F4A39"/>
    <w:rsid w:val="009F512E"/>
    <w:rsid w:val="00A0215E"/>
    <w:rsid w:val="00A03996"/>
    <w:rsid w:val="00A46FC3"/>
    <w:rsid w:val="00AA7894"/>
    <w:rsid w:val="00AB0C23"/>
    <w:rsid w:val="00AE5780"/>
    <w:rsid w:val="00AF2A7D"/>
    <w:rsid w:val="00AF2B3E"/>
    <w:rsid w:val="00B00A75"/>
    <w:rsid w:val="00B53641"/>
    <w:rsid w:val="00B83510"/>
    <w:rsid w:val="00BA548F"/>
    <w:rsid w:val="00BF3F00"/>
    <w:rsid w:val="00C0198D"/>
    <w:rsid w:val="00C10D9A"/>
    <w:rsid w:val="00C249C5"/>
    <w:rsid w:val="00C80BE6"/>
    <w:rsid w:val="00C97146"/>
    <w:rsid w:val="00CC0814"/>
    <w:rsid w:val="00CD4F5B"/>
    <w:rsid w:val="00CE646A"/>
    <w:rsid w:val="00D010C2"/>
    <w:rsid w:val="00D268AA"/>
    <w:rsid w:val="00D507BD"/>
    <w:rsid w:val="00D57BD2"/>
    <w:rsid w:val="00D91D8D"/>
    <w:rsid w:val="00DA609E"/>
    <w:rsid w:val="00DF0F47"/>
    <w:rsid w:val="00DF1FE8"/>
    <w:rsid w:val="00E022DC"/>
    <w:rsid w:val="00E070AF"/>
    <w:rsid w:val="00E63E85"/>
    <w:rsid w:val="00E6645D"/>
    <w:rsid w:val="00E86117"/>
    <w:rsid w:val="00E9198F"/>
    <w:rsid w:val="00E95A48"/>
    <w:rsid w:val="00E97F32"/>
    <w:rsid w:val="00EB3846"/>
    <w:rsid w:val="00EC2D73"/>
    <w:rsid w:val="00EC488E"/>
    <w:rsid w:val="00EE546E"/>
    <w:rsid w:val="00EF29E9"/>
    <w:rsid w:val="00F56463"/>
    <w:rsid w:val="00FA7E7A"/>
    <w:rsid w:val="010C391A"/>
    <w:rsid w:val="01214168"/>
    <w:rsid w:val="013D4B60"/>
    <w:rsid w:val="01695955"/>
    <w:rsid w:val="017911C4"/>
    <w:rsid w:val="01A4698D"/>
    <w:rsid w:val="01A85A12"/>
    <w:rsid w:val="01AE3F60"/>
    <w:rsid w:val="01F80A87"/>
    <w:rsid w:val="0241242E"/>
    <w:rsid w:val="02846ED2"/>
    <w:rsid w:val="02A24124"/>
    <w:rsid w:val="02D6790F"/>
    <w:rsid w:val="02DA6263"/>
    <w:rsid w:val="0320613F"/>
    <w:rsid w:val="03396EDA"/>
    <w:rsid w:val="03733EEE"/>
    <w:rsid w:val="037348D1"/>
    <w:rsid w:val="03767595"/>
    <w:rsid w:val="03C055D4"/>
    <w:rsid w:val="03DE5572"/>
    <w:rsid w:val="040705DD"/>
    <w:rsid w:val="04402271"/>
    <w:rsid w:val="044259F2"/>
    <w:rsid w:val="04934A97"/>
    <w:rsid w:val="04BC5D9C"/>
    <w:rsid w:val="05204848"/>
    <w:rsid w:val="05573D16"/>
    <w:rsid w:val="0598566E"/>
    <w:rsid w:val="0602276C"/>
    <w:rsid w:val="06485F88"/>
    <w:rsid w:val="0673692E"/>
    <w:rsid w:val="067B1C86"/>
    <w:rsid w:val="06B70F10"/>
    <w:rsid w:val="06D7510F"/>
    <w:rsid w:val="06E966CE"/>
    <w:rsid w:val="06FF08BE"/>
    <w:rsid w:val="07013F3A"/>
    <w:rsid w:val="071275CE"/>
    <w:rsid w:val="072365A6"/>
    <w:rsid w:val="073070AF"/>
    <w:rsid w:val="077706A0"/>
    <w:rsid w:val="07CA1B22"/>
    <w:rsid w:val="08002C97"/>
    <w:rsid w:val="08381BDD"/>
    <w:rsid w:val="08615B97"/>
    <w:rsid w:val="08C133D1"/>
    <w:rsid w:val="08E27D9B"/>
    <w:rsid w:val="095F585F"/>
    <w:rsid w:val="0995039F"/>
    <w:rsid w:val="09AD1DC4"/>
    <w:rsid w:val="09EF276F"/>
    <w:rsid w:val="09FC09DC"/>
    <w:rsid w:val="0A0124A3"/>
    <w:rsid w:val="0A2A1C56"/>
    <w:rsid w:val="0A434869"/>
    <w:rsid w:val="0A596820"/>
    <w:rsid w:val="0A607363"/>
    <w:rsid w:val="0A71587A"/>
    <w:rsid w:val="0A747118"/>
    <w:rsid w:val="0A800542"/>
    <w:rsid w:val="0A8729A8"/>
    <w:rsid w:val="0A96708F"/>
    <w:rsid w:val="0A975083"/>
    <w:rsid w:val="0AA17698"/>
    <w:rsid w:val="0AC62EBA"/>
    <w:rsid w:val="0AEA5DB4"/>
    <w:rsid w:val="0B024650"/>
    <w:rsid w:val="0B024724"/>
    <w:rsid w:val="0B2935A3"/>
    <w:rsid w:val="0B4C2391"/>
    <w:rsid w:val="0B533B9F"/>
    <w:rsid w:val="0BC220E8"/>
    <w:rsid w:val="0BEB6F66"/>
    <w:rsid w:val="0C394176"/>
    <w:rsid w:val="0C3A08ED"/>
    <w:rsid w:val="0C4E3A7E"/>
    <w:rsid w:val="0C580AA0"/>
    <w:rsid w:val="0C762CD4"/>
    <w:rsid w:val="0CBE297A"/>
    <w:rsid w:val="0D163E5A"/>
    <w:rsid w:val="0D5E514B"/>
    <w:rsid w:val="0D643101"/>
    <w:rsid w:val="0DB07F22"/>
    <w:rsid w:val="0DE0038F"/>
    <w:rsid w:val="0E1A0520"/>
    <w:rsid w:val="0E2C4F71"/>
    <w:rsid w:val="0E6B51F6"/>
    <w:rsid w:val="0E727C58"/>
    <w:rsid w:val="0EDA5565"/>
    <w:rsid w:val="0EEA1757"/>
    <w:rsid w:val="0F264E85"/>
    <w:rsid w:val="0F2B6282"/>
    <w:rsid w:val="0F783AC0"/>
    <w:rsid w:val="0F873F4C"/>
    <w:rsid w:val="0FB32491"/>
    <w:rsid w:val="0FC37DCF"/>
    <w:rsid w:val="0FFE3069"/>
    <w:rsid w:val="100C3A80"/>
    <w:rsid w:val="102B5C02"/>
    <w:rsid w:val="108654B0"/>
    <w:rsid w:val="10F31018"/>
    <w:rsid w:val="11185159"/>
    <w:rsid w:val="114A1009"/>
    <w:rsid w:val="116A0B52"/>
    <w:rsid w:val="118C2720"/>
    <w:rsid w:val="11A7493E"/>
    <w:rsid w:val="11FA1778"/>
    <w:rsid w:val="12912466"/>
    <w:rsid w:val="129E4D32"/>
    <w:rsid w:val="12C92130"/>
    <w:rsid w:val="13070C06"/>
    <w:rsid w:val="137A57A0"/>
    <w:rsid w:val="1387665B"/>
    <w:rsid w:val="140E7C96"/>
    <w:rsid w:val="146E326E"/>
    <w:rsid w:val="14863CD0"/>
    <w:rsid w:val="148C2C9C"/>
    <w:rsid w:val="14C24761"/>
    <w:rsid w:val="14EE4E3E"/>
    <w:rsid w:val="1528122B"/>
    <w:rsid w:val="15690A3B"/>
    <w:rsid w:val="15C35974"/>
    <w:rsid w:val="15C82379"/>
    <w:rsid w:val="15DD7561"/>
    <w:rsid w:val="15F66C34"/>
    <w:rsid w:val="16116679"/>
    <w:rsid w:val="161A7557"/>
    <w:rsid w:val="16310323"/>
    <w:rsid w:val="16D63B6D"/>
    <w:rsid w:val="16E80C72"/>
    <w:rsid w:val="170F534B"/>
    <w:rsid w:val="17690C5E"/>
    <w:rsid w:val="17B80F06"/>
    <w:rsid w:val="18396314"/>
    <w:rsid w:val="18A15C38"/>
    <w:rsid w:val="19173A91"/>
    <w:rsid w:val="1929332F"/>
    <w:rsid w:val="192C292E"/>
    <w:rsid w:val="193070B4"/>
    <w:rsid w:val="193B481C"/>
    <w:rsid w:val="193E071D"/>
    <w:rsid w:val="193F22E3"/>
    <w:rsid w:val="19740EDD"/>
    <w:rsid w:val="19762297"/>
    <w:rsid w:val="1982525E"/>
    <w:rsid w:val="198B2D22"/>
    <w:rsid w:val="199E1ABC"/>
    <w:rsid w:val="19A22731"/>
    <w:rsid w:val="19FD2C86"/>
    <w:rsid w:val="19FD4A34"/>
    <w:rsid w:val="19FE6CC5"/>
    <w:rsid w:val="1A432E45"/>
    <w:rsid w:val="1A7A3FE4"/>
    <w:rsid w:val="1ABE5CF0"/>
    <w:rsid w:val="1ACF2E1F"/>
    <w:rsid w:val="1AE713C1"/>
    <w:rsid w:val="1B2B67B7"/>
    <w:rsid w:val="1B811695"/>
    <w:rsid w:val="1BA07D6D"/>
    <w:rsid w:val="1BAB1C72"/>
    <w:rsid w:val="1BDE0896"/>
    <w:rsid w:val="1C0C6545"/>
    <w:rsid w:val="1C200EAE"/>
    <w:rsid w:val="1C746B04"/>
    <w:rsid w:val="1C7B4336"/>
    <w:rsid w:val="1CC146AF"/>
    <w:rsid w:val="1D167BBB"/>
    <w:rsid w:val="1D1B04C8"/>
    <w:rsid w:val="1D1C161E"/>
    <w:rsid w:val="1D241014"/>
    <w:rsid w:val="1D514D9F"/>
    <w:rsid w:val="1D8164D4"/>
    <w:rsid w:val="1DB04846"/>
    <w:rsid w:val="1DC76A61"/>
    <w:rsid w:val="1E21410D"/>
    <w:rsid w:val="1E281DF2"/>
    <w:rsid w:val="1E3368D3"/>
    <w:rsid w:val="1E345BE0"/>
    <w:rsid w:val="1E476532"/>
    <w:rsid w:val="1E591D2E"/>
    <w:rsid w:val="1E6A55EE"/>
    <w:rsid w:val="1ED62920"/>
    <w:rsid w:val="1EDB183D"/>
    <w:rsid w:val="1F074AAC"/>
    <w:rsid w:val="1F0F0991"/>
    <w:rsid w:val="1F1A7DF1"/>
    <w:rsid w:val="1F641CAC"/>
    <w:rsid w:val="200434F7"/>
    <w:rsid w:val="20856196"/>
    <w:rsid w:val="2096528F"/>
    <w:rsid w:val="20CA13E8"/>
    <w:rsid w:val="20F3675C"/>
    <w:rsid w:val="210F691E"/>
    <w:rsid w:val="211413E5"/>
    <w:rsid w:val="212C5BFF"/>
    <w:rsid w:val="21377A7E"/>
    <w:rsid w:val="214611D6"/>
    <w:rsid w:val="214E7A56"/>
    <w:rsid w:val="21590EA2"/>
    <w:rsid w:val="217557F8"/>
    <w:rsid w:val="2186530F"/>
    <w:rsid w:val="21A2432F"/>
    <w:rsid w:val="21AD5913"/>
    <w:rsid w:val="21F60BE5"/>
    <w:rsid w:val="221219D6"/>
    <w:rsid w:val="221F7512"/>
    <w:rsid w:val="222021B9"/>
    <w:rsid w:val="225C42C2"/>
    <w:rsid w:val="22AB4BE9"/>
    <w:rsid w:val="23373128"/>
    <w:rsid w:val="235333B2"/>
    <w:rsid w:val="23922D9B"/>
    <w:rsid w:val="23A90A15"/>
    <w:rsid w:val="23D10D5A"/>
    <w:rsid w:val="23FF50A2"/>
    <w:rsid w:val="24314910"/>
    <w:rsid w:val="24343749"/>
    <w:rsid w:val="243F4F3B"/>
    <w:rsid w:val="244874C1"/>
    <w:rsid w:val="248024EA"/>
    <w:rsid w:val="248A5E6C"/>
    <w:rsid w:val="24B16D08"/>
    <w:rsid w:val="24F84776"/>
    <w:rsid w:val="25585215"/>
    <w:rsid w:val="25B3768C"/>
    <w:rsid w:val="25BE6A62"/>
    <w:rsid w:val="25F66DE7"/>
    <w:rsid w:val="26006017"/>
    <w:rsid w:val="261847F8"/>
    <w:rsid w:val="26227BCD"/>
    <w:rsid w:val="264263C2"/>
    <w:rsid w:val="26574DB8"/>
    <w:rsid w:val="265873BF"/>
    <w:rsid w:val="26A90C2F"/>
    <w:rsid w:val="26AC3A6A"/>
    <w:rsid w:val="26B3102C"/>
    <w:rsid w:val="26C06ADF"/>
    <w:rsid w:val="26C37006"/>
    <w:rsid w:val="272A58FA"/>
    <w:rsid w:val="27B16E5E"/>
    <w:rsid w:val="27DD5EA5"/>
    <w:rsid w:val="27F82CDF"/>
    <w:rsid w:val="281B76B8"/>
    <w:rsid w:val="283C7070"/>
    <w:rsid w:val="287F7F43"/>
    <w:rsid w:val="28F336A3"/>
    <w:rsid w:val="29064F88"/>
    <w:rsid w:val="292A336C"/>
    <w:rsid w:val="29444608"/>
    <w:rsid w:val="29AE4D5F"/>
    <w:rsid w:val="29E83790"/>
    <w:rsid w:val="2A13795C"/>
    <w:rsid w:val="2A392777"/>
    <w:rsid w:val="2A742AF1"/>
    <w:rsid w:val="2A7A75AB"/>
    <w:rsid w:val="2A866380"/>
    <w:rsid w:val="2AB80403"/>
    <w:rsid w:val="2AD70C52"/>
    <w:rsid w:val="2B15135A"/>
    <w:rsid w:val="2B7F799F"/>
    <w:rsid w:val="2BA61B95"/>
    <w:rsid w:val="2BB84C5F"/>
    <w:rsid w:val="2BC27F72"/>
    <w:rsid w:val="2BC37160"/>
    <w:rsid w:val="2BC61E78"/>
    <w:rsid w:val="2BD6267A"/>
    <w:rsid w:val="2BFA5278"/>
    <w:rsid w:val="2C0056E8"/>
    <w:rsid w:val="2C3473EA"/>
    <w:rsid w:val="2C695F59"/>
    <w:rsid w:val="2CB216AE"/>
    <w:rsid w:val="2CC42ADB"/>
    <w:rsid w:val="2CD14A85"/>
    <w:rsid w:val="2CDE24A4"/>
    <w:rsid w:val="2D183209"/>
    <w:rsid w:val="2D1E6D44"/>
    <w:rsid w:val="2D4A5D8B"/>
    <w:rsid w:val="2D4A7B39"/>
    <w:rsid w:val="2D5B7F98"/>
    <w:rsid w:val="2D791F86"/>
    <w:rsid w:val="2DCD491E"/>
    <w:rsid w:val="2E054640"/>
    <w:rsid w:val="2E1229FA"/>
    <w:rsid w:val="2E142A53"/>
    <w:rsid w:val="2E9B4E26"/>
    <w:rsid w:val="2E9C6770"/>
    <w:rsid w:val="2EBA484A"/>
    <w:rsid w:val="2EF9266A"/>
    <w:rsid w:val="2F1C3757"/>
    <w:rsid w:val="2F1D77C3"/>
    <w:rsid w:val="2F520F27"/>
    <w:rsid w:val="2F6254F6"/>
    <w:rsid w:val="2F880DEC"/>
    <w:rsid w:val="2F9821B1"/>
    <w:rsid w:val="2FE5304B"/>
    <w:rsid w:val="2FF335B8"/>
    <w:rsid w:val="3019281E"/>
    <w:rsid w:val="306C5FDC"/>
    <w:rsid w:val="30977539"/>
    <w:rsid w:val="30A47B90"/>
    <w:rsid w:val="30AA08EF"/>
    <w:rsid w:val="30B603FB"/>
    <w:rsid w:val="30F0559F"/>
    <w:rsid w:val="30FC1CCE"/>
    <w:rsid w:val="31296838"/>
    <w:rsid w:val="31496359"/>
    <w:rsid w:val="31A84ABC"/>
    <w:rsid w:val="326A173F"/>
    <w:rsid w:val="32D36F12"/>
    <w:rsid w:val="32F50547"/>
    <w:rsid w:val="33155BFC"/>
    <w:rsid w:val="33185B4D"/>
    <w:rsid w:val="33240E2C"/>
    <w:rsid w:val="33995376"/>
    <w:rsid w:val="33FF5575"/>
    <w:rsid w:val="34095172"/>
    <w:rsid w:val="34180991"/>
    <w:rsid w:val="34195002"/>
    <w:rsid w:val="342920FF"/>
    <w:rsid w:val="342B3D04"/>
    <w:rsid w:val="345922F6"/>
    <w:rsid w:val="34880815"/>
    <w:rsid w:val="34B81775"/>
    <w:rsid w:val="34CE2DFE"/>
    <w:rsid w:val="34F31C7A"/>
    <w:rsid w:val="34F55208"/>
    <w:rsid w:val="35116D5C"/>
    <w:rsid w:val="352275ED"/>
    <w:rsid w:val="352769B2"/>
    <w:rsid w:val="35380BBF"/>
    <w:rsid w:val="35616E8D"/>
    <w:rsid w:val="356D7912"/>
    <w:rsid w:val="357D6508"/>
    <w:rsid w:val="35EB2DC2"/>
    <w:rsid w:val="35F745D6"/>
    <w:rsid w:val="35FC399A"/>
    <w:rsid w:val="362F60AF"/>
    <w:rsid w:val="36692686"/>
    <w:rsid w:val="366C6422"/>
    <w:rsid w:val="367774C5"/>
    <w:rsid w:val="36873BAC"/>
    <w:rsid w:val="3698529B"/>
    <w:rsid w:val="36B21124"/>
    <w:rsid w:val="36CA1CEB"/>
    <w:rsid w:val="370F0234"/>
    <w:rsid w:val="375815A3"/>
    <w:rsid w:val="376263F3"/>
    <w:rsid w:val="37732570"/>
    <w:rsid w:val="379522F8"/>
    <w:rsid w:val="37D6240F"/>
    <w:rsid w:val="37EB3CC7"/>
    <w:rsid w:val="38437573"/>
    <w:rsid w:val="385B709E"/>
    <w:rsid w:val="387617D9"/>
    <w:rsid w:val="38F84166"/>
    <w:rsid w:val="390F42B9"/>
    <w:rsid w:val="392007DF"/>
    <w:rsid w:val="39377EC0"/>
    <w:rsid w:val="39AA0EE1"/>
    <w:rsid w:val="3A0268DC"/>
    <w:rsid w:val="3A10210A"/>
    <w:rsid w:val="3A480374"/>
    <w:rsid w:val="3A571AE7"/>
    <w:rsid w:val="3A8B353F"/>
    <w:rsid w:val="3ABA04B1"/>
    <w:rsid w:val="3B1874C8"/>
    <w:rsid w:val="3B1909F1"/>
    <w:rsid w:val="3B2E249E"/>
    <w:rsid w:val="3B90705F"/>
    <w:rsid w:val="3BAC7C11"/>
    <w:rsid w:val="3BCA09A8"/>
    <w:rsid w:val="3C090BBF"/>
    <w:rsid w:val="3C363AD7"/>
    <w:rsid w:val="3C3D4818"/>
    <w:rsid w:val="3C4A598C"/>
    <w:rsid w:val="3CDE1550"/>
    <w:rsid w:val="3D127499"/>
    <w:rsid w:val="3D98669F"/>
    <w:rsid w:val="3DA831FF"/>
    <w:rsid w:val="3DC07AF6"/>
    <w:rsid w:val="3DE61457"/>
    <w:rsid w:val="3E2B711B"/>
    <w:rsid w:val="3E6500D7"/>
    <w:rsid w:val="3E6A18A2"/>
    <w:rsid w:val="3EB00EAE"/>
    <w:rsid w:val="3F9701F0"/>
    <w:rsid w:val="3FA304D7"/>
    <w:rsid w:val="3FDE5557"/>
    <w:rsid w:val="3FEF121E"/>
    <w:rsid w:val="3FF1653A"/>
    <w:rsid w:val="40B2123B"/>
    <w:rsid w:val="4153125A"/>
    <w:rsid w:val="418801DC"/>
    <w:rsid w:val="41B17FC5"/>
    <w:rsid w:val="41D50473"/>
    <w:rsid w:val="41F10C3F"/>
    <w:rsid w:val="41F443D0"/>
    <w:rsid w:val="41F53BBE"/>
    <w:rsid w:val="42162288"/>
    <w:rsid w:val="4234420A"/>
    <w:rsid w:val="42415908"/>
    <w:rsid w:val="42446DF5"/>
    <w:rsid w:val="425F3C2F"/>
    <w:rsid w:val="42AF18A5"/>
    <w:rsid w:val="42C65A5C"/>
    <w:rsid w:val="43003913"/>
    <w:rsid w:val="43071E0E"/>
    <w:rsid w:val="43217805"/>
    <w:rsid w:val="435170E3"/>
    <w:rsid w:val="43601A0D"/>
    <w:rsid w:val="436D237B"/>
    <w:rsid w:val="43761230"/>
    <w:rsid w:val="43C3296B"/>
    <w:rsid w:val="43C55FC9"/>
    <w:rsid w:val="440920A4"/>
    <w:rsid w:val="440A4301"/>
    <w:rsid w:val="44386A0C"/>
    <w:rsid w:val="44607359"/>
    <w:rsid w:val="448E76D8"/>
    <w:rsid w:val="44B57B36"/>
    <w:rsid w:val="44E656ED"/>
    <w:rsid w:val="451B4863"/>
    <w:rsid w:val="45433ACE"/>
    <w:rsid w:val="45562AD9"/>
    <w:rsid w:val="4560031E"/>
    <w:rsid w:val="45A32006"/>
    <w:rsid w:val="45CA7AAB"/>
    <w:rsid w:val="46192347"/>
    <w:rsid w:val="461D0EC1"/>
    <w:rsid w:val="4698770F"/>
    <w:rsid w:val="46B716B8"/>
    <w:rsid w:val="46F30DEA"/>
    <w:rsid w:val="47554DD9"/>
    <w:rsid w:val="47A732A0"/>
    <w:rsid w:val="47BE63EC"/>
    <w:rsid w:val="47C36A0E"/>
    <w:rsid w:val="47F170D7"/>
    <w:rsid w:val="47F95BF5"/>
    <w:rsid w:val="47FD13AC"/>
    <w:rsid w:val="48592BA8"/>
    <w:rsid w:val="48756C52"/>
    <w:rsid w:val="48832F39"/>
    <w:rsid w:val="48A3525F"/>
    <w:rsid w:val="48AA0F24"/>
    <w:rsid w:val="48BC175E"/>
    <w:rsid w:val="48E06C47"/>
    <w:rsid w:val="48EC339B"/>
    <w:rsid w:val="48F4686E"/>
    <w:rsid w:val="49333C6D"/>
    <w:rsid w:val="49D1238B"/>
    <w:rsid w:val="49DC5B65"/>
    <w:rsid w:val="49E35378"/>
    <w:rsid w:val="49E62DF7"/>
    <w:rsid w:val="49E959C6"/>
    <w:rsid w:val="49EC173D"/>
    <w:rsid w:val="4A4344DB"/>
    <w:rsid w:val="4A5B4CDC"/>
    <w:rsid w:val="4AAF7A71"/>
    <w:rsid w:val="4B000B97"/>
    <w:rsid w:val="4B2123BD"/>
    <w:rsid w:val="4B35548C"/>
    <w:rsid w:val="4B3E382E"/>
    <w:rsid w:val="4B427C4A"/>
    <w:rsid w:val="4B6E4EE3"/>
    <w:rsid w:val="4B871B00"/>
    <w:rsid w:val="4BA15EEC"/>
    <w:rsid w:val="4BB943B0"/>
    <w:rsid w:val="4BF47742"/>
    <w:rsid w:val="4BF947AC"/>
    <w:rsid w:val="4C192533"/>
    <w:rsid w:val="4C4B290C"/>
    <w:rsid w:val="4C6F4F8D"/>
    <w:rsid w:val="4C73531F"/>
    <w:rsid w:val="4C9D7D73"/>
    <w:rsid w:val="4CA961D2"/>
    <w:rsid w:val="4D4B4602"/>
    <w:rsid w:val="4D785BA5"/>
    <w:rsid w:val="4DD81C01"/>
    <w:rsid w:val="4E135973"/>
    <w:rsid w:val="4EFF6044"/>
    <w:rsid w:val="4F1D2EA8"/>
    <w:rsid w:val="4F850C9A"/>
    <w:rsid w:val="4F8D2243"/>
    <w:rsid w:val="4F92760E"/>
    <w:rsid w:val="4FC27B2B"/>
    <w:rsid w:val="4FC43323"/>
    <w:rsid w:val="4FEC4864"/>
    <w:rsid w:val="4FED51F2"/>
    <w:rsid w:val="502F2E92"/>
    <w:rsid w:val="50394C31"/>
    <w:rsid w:val="504A1A7A"/>
    <w:rsid w:val="50A443ED"/>
    <w:rsid w:val="50CD5859"/>
    <w:rsid w:val="50DD08D9"/>
    <w:rsid w:val="510C3545"/>
    <w:rsid w:val="51656440"/>
    <w:rsid w:val="517071D9"/>
    <w:rsid w:val="51786173"/>
    <w:rsid w:val="51B465B0"/>
    <w:rsid w:val="51B65CE0"/>
    <w:rsid w:val="51F65583"/>
    <w:rsid w:val="52213A5A"/>
    <w:rsid w:val="523920F4"/>
    <w:rsid w:val="523A687E"/>
    <w:rsid w:val="52414F51"/>
    <w:rsid w:val="529B78E6"/>
    <w:rsid w:val="52D63A99"/>
    <w:rsid w:val="53220A8C"/>
    <w:rsid w:val="53414FDB"/>
    <w:rsid w:val="538C141B"/>
    <w:rsid w:val="538F06BE"/>
    <w:rsid w:val="53991E52"/>
    <w:rsid w:val="539B7C7B"/>
    <w:rsid w:val="53C37B97"/>
    <w:rsid w:val="54617393"/>
    <w:rsid w:val="54AD770C"/>
    <w:rsid w:val="54D264E2"/>
    <w:rsid w:val="5503369C"/>
    <w:rsid w:val="55180399"/>
    <w:rsid w:val="556A2277"/>
    <w:rsid w:val="55B834A5"/>
    <w:rsid w:val="55F75CC1"/>
    <w:rsid w:val="564C4F6C"/>
    <w:rsid w:val="56674A08"/>
    <w:rsid w:val="56DC14C6"/>
    <w:rsid w:val="57087F99"/>
    <w:rsid w:val="57293CF2"/>
    <w:rsid w:val="573214BA"/>
    <w:rsid w:val="57582B95"/>
    <w:rsid w:val="58056B37"/>
    <w:rsid w:val="581973B2"/>
    <w:rsid w:val="586F330A"/>
    <w:rsid w:val="58B54151"/>
    <w:rsid w:val="58F30F80"/>
    <w:rsid w:val="59134CF9"/>
    <w:rsid w:val="59270E14"/>
    <w:rsid w:val="59487CCE"/>
    <w:rsid w:val="5964312E"/>
    <w:rsid w:val="59B9276E"/>
    <w:rsid w:val="59EF5ACC"/>
    <w:rsid w:val="59F9006D"/>
    <w:rsid w:val="5A07278A"/>
    <w:rsid w:val="5A2734CC"/>
    <w:rsid w:val="5A2C0443"/>
    <w:rsid w:val="5A556334"/>
    <w:rsid w:val="5A816250"/>
    <w:rsid w:val="5A876F92"/>
    <w:rsid w:val="5AE96B71"/>
    <w:rsid w:val="5AF42E99"/>
    <w:rsid w:val="5AF85079"/>
    <w:rsid w:val="5B12588A"/>
    <w:rsid w:val="5B2464EB"/>
    <w:rsid w:val="5B2F6738"/>
    <w:rsid w:val="5B5B0FE0"/>
    <w:rsid w:val="5BB42718"/>
    <w:rsid w:val="5BB9157B"/>
    <w:rsid w:val="5BF31218"/>
    <w:rsid w:val="5C2A74DA"/>
    <w:rsid w:val="5C455F31"/>
    <w:rsid w:val="5C741C2D"/>
    <w:rsid w:val="5CA70254"/>
    <w:rsid w:val="5CAB1AF3"/>
    <w:rsid w:val="5CBF52E9"/>
    <w:rsid w:val="5CD977EC"/>
    <w:rsid w:val="5D254C9C"/>
    <w:rsid w:val="5D5C38C9"/>
    <w:rsid w:val="5D6B2959"/>
    <w:rsid w:val="5D74685B"/>
    <w:rsid w:val="5DEC1E8E"/>
    <w:rsid w:val="5E6C79D4"/>
    <w:rsid w:val="5EBF1885"/>
    <w:rsid w:val="5EC6498E"/>
    <w:rsid w:val="5ECB24E6"/>
    <w:rsid w:val="5EF271CB"/>
    <w:rsid w:val="5EF77F1A"/>
    <w:rsid w:val="5EF93EFE"/>
    <w:rsid w:val="5FE86BBA"/>
    <w:rsid w:val="6056528B"/>
    <w:rsid w:val="609E12D2"/>
    <w:rsid w:val="60D525EF"/>
    <w:rsid w:val="60FE756F"/>
    <w:rsid w:val="613227E2"/>
    <w:rsid w:val="615909F0"/>
    <w:rsid w:val="617D634E"/>
    <w:rsid w:val="61AD3E67"/>
    <w:rsid w:val="61B50D1E"/>
    <w:rsid w:val="61C434C0"/>
    <w:rsid w:val="61E9767B"/>
    <w:rsid w:val="6212235F"/>
    <w:rsid w:val="6234345E"/>
    <w:rsid w:val="6245446B"/>
    <w:rsid w:val="62854E3F"/>
    <w:rsid w:val="62895A01"/>
    <w:rsid w:val="62BE24E9"/>
    <w:rsid w:val="62BF743F"/>
    <w:rsid w:val="62C53B76"/>
    <w:rsid w:val="63591A20"/>
    <w:rsid w:val="639C7ED5"/>
    <w:rsid w:val="63A37C7E"/>
    <w:rsid w:val="63A92B04"/>
    <w:rsid w:val="63BA5000"/>
    <w:rsid w:val="642E0910"/>
    <w:rsid w:val="643979E4"/>
    <w:rsid w:val="649829A9"/>
    <w:rsid w:val="64990483"/>
    <w:rsid w:val="64F63B27"/>
    <w:rsid w:val="6542378D"/>
    <w:rsid w:val="65424FBE"/>
    <w:rsid w:val="65662A48"/>
    <w:rsid w:val="65A61CED"/>
    <w:rsid w:val="65AD68DC"/>
    <w:rsid w:val="65C22684"/>
    <w:rsid w:val="662721F4"/>
    <w:rsid w:val="66274300"/>
    <w:rsid w:val="662D714F"/>
    <w:rsid w:val="664659C5"/>
    <w:rsid w:val="664A0445"/>
    <w:rsid w:val="66772A46"/>
    <w:rsid w:val="66952ECC"/>
    <w:rsid w:val="66C20165"/>
    <w:rsid w:val="67562B64"/>
    <w:rsid w:val="67582877"/>
    <w:rsid w:val="6772483D"/>
    <w:rsid w:val="67897A57"/>
    <w:rsid w:val="67BC4EBC"/>
    <w:rsid w:val="67C26AFE"/>
    <w:rsid w:val="67DB05B0"/>
    <w:rsid w:val="67ED1F29"/>
    <w:rsid w:val="67F9494F"/>
    <w:rsid w:val="681F54E9"/>
    <w:rsid w:val="68942BB5"/>
    <w:rsid w:val="68B41F83"/>
    <w:rsid w:val="68CD2DF1"/>
    <w:rsid w:val="69062A4E"/>
    <w:rsid w:val="693E1CDB"/>
    <w:rsid w:val="694C1542"/>
    <w:rsid w:val="69694C28"/>
    <w:rsid w:val="69953BC0"/>
    <w:rsid w:val="69AA611C"/>
    <w:rsid w:val="69F34AD9"/>
    <w:rsid w:val="6A2B4273"/>
    <w:rsid w:val="6A3A4600"/>
    <w:rsid w:val="6A627569"/>
    <w:rsid w:val="6AA93906"/>
    <w:rsid w:val="6B355C3A"/>
    <w:rsid w:val="6BEF767D"/>
    <w:rsid w:val="6BF568E6"/>
    <w:rsid w:val="6C5A07A9"/>
    <w:rsid w:val="6C70154E"/>
    <w:rsid w:val="6CDD41CE"/>
    <w:rsid w:val="6D392803"/>
    <w:rsid w:val="6D45389E"/>
    <w:rsid w:val="6D5835D1"/>
    <w:rsid w:val="6D6C77C0"/>
    <w:rsid w:val="6D822F3E"/>
    <w:rsid w:val="6DCF760B"/>
    <w:rsid w:val="6E5101B5"/>
    <w:rsid w:val="6E612B2F"/>
    <w:rsid w:val="6EA40A6E"/>
    <w:rsid w:val="6EBC1C79"/>
    <w:rsid w:val="6EF72976"/>
    <w:rsid w:val="6FD52855"/>
    <w:rsid w:val="6FD96115"/>
    <w:rsid w:val="6FFE4B1F"/>
    <w:rsid w:val="701B7EF3"/>
    <w:rsid w:val="702D18DA"/>
    <w:rsid w:val="705A2B13"/>
    <w:rsid w:val="706E1BFB"/>
    <w:rsid w:val="709242C8"/>
    <w:rsid w:val="70CE3BAA"/>
    <w:rsid w:val="70F133F4"/>
    <w:rsid w:val="70F945D3"/>
    <w:rsid w:val="70FB5AF3"/>
    <w:rsid w:val="710B5F16"/>
    <w:rsid w:val="71245578"/>
    <w:rsid w:val="7141437C"/>
    <w:rsid w:val="719A601F"/>
    <w:rsid w:val="71AC5951"/>
    <w:rsid w:val="71BC5379"/>
    <w:rsid w:val="71E90847"/>
    <w:rsid w:val="71F65447"/>
    <w:rsid w:val="72084E9A"/>
    <w:rsid w:val="7266670B"/>
    <w:rsid w:val="726A345E"/>
    <w:rsid w:val="727A2772"/>
    <w:rsid w:val="72926F3A"/>
    <w:rsid w:val="72E169CE"/>
    <w:rsid w:val="7303644A"/>
    <w:rsid w:val="730C516A"/>
    <w:rsid w:val="731E389D"/>
    <w:rsid w:val="734946AB"/>
    <w:rsid w:val="73653BD3"/>
    <w:rsid w:val="73A91F61"/>
    <w:rsid w:val="742C238D"/>
    <w:rsid w:val="7432236F"/>
    <w:rsid w:val="745F23EC"/>
    <w:rsid w:val="74AF5AA0"/>
    <w:rsid w:val="74C36E18"/>
    <w:rsid w:val="751853F4"/>
    <w:rsid w:val="75862CA5"/>
    <w:rsid w:val="7592164A"/>
    <w:rsid w:val="75A74659"/>
    <w:rsid w:val="75C8506C"/>
    <w:rsid w:val="75D15702"/>
    <w:rsid w:val="75E343E3"/>
    <w:rsid w:val="75FB1725"/>
    <w:rsid w:val="766D7DAD"/>
    <w:rsid w:val="769B62DC"/>
    <w:rsid w:val="771162BC"/>
    <w:rsid w:val="77317B66"/>
    <w:rsid w:val="776A3353"/>
    <w:rsid w:val="77B10E5A"/>
    <w:rsid w:val="77D01FB6"/>
    <w:rsid w:val="77D953F3"/>
    <w:rsid w:val="788B0A08"/>
    <w:rsid w:val="792540F0"/>
    <w:rsid w:val="79296ED7"/>
    <w:rsid w:val="794F0164"/>
    <w:rsid w:val="79537342"/>
    <w:rsid w:val="79D57D57"/>
    <w:rsid w:val="79FC1EFD"/>
    <w:rsid w:val="7A195E96"/>
    <w:rsid w:val="7A234D3A"/>
    <w:rsid w:val="7A26595F"/>
    <w:rsid w:val="7A4E3666"/>
    <w:rsid w:val="7A6104BD"/>
    <w:rsid w:val="7A6730A5"/>
    <w:rsid w:val="7A7C4677"/>
    <w:rsid w:val="7A974623"/>
    <w:rsid w:val="7AEC7106"/>
    <w:rsid w:val="7B537186"/>
    <w:rsid w:val="7BEB4002"/>
    <w:rsid w:val="7C6B04FF"/>
    <w:rsid w:val="7C935EA0"/>
    <w:rsid w:val="7CA77A17"/>
    <w:rsid w:val="7CAD444E"/>
    <w:rsid w:val="7CBD259D"/>
    <w:rsid w:val="7CCC0C3D"/>
    <w:rsid w:val="7CF03BBA"/>
    <w:rsid w:val="7D353B60"/>
    <w:rsid w:val="7D3B2695"/>
    <w:rsid w:val="7D4F716A"/>
    <w:rsid w:val="7D9F08BB"/>
    <w:rsid w:val="7DC2073A"/>
    <w:rsid w:val="7DCC1471"/>
    <w:rsid w:val="7DD1356A"/>
    <w:rsid w:val="7DD65E4C"/>
    <w:rsid w:val="7DF32EA2"/>
    <w:rsid w:val="7E8F55C4"/>
    <w:rsid w:val="7E9F0934"/>
    <w:rsid w:val="7EBF32CA"/>
    <w:rsid w:val="7ECE7759"/>
    <w:rsid w:val="7EE46714"/>
    <w:rsid w:val="7F0E192E"/>
    <w:rsid w:val="7F497D49"/>
    <w:rsid w:val="7FC059AB"/>
    <w:rsid w:val="7FD30895"/>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1"/>
    <w:qFormat/>
    <w:uiPriority w:val="0"/>
    <w:pPr>
      <w:keepNext/>
      <w:keepLines/>
      <w:spacing w:before="340" w:after="330" w:line="578" w:lineRule="auto"/>
      <w:outlineLvl w:val="0"/>
    </w:pPr>
    <w:rPr>
      <w:b/>
      <w:bCs/>
      <w:kern w:val="44"/>
      <w:sz w:val="30"/>
      <w:szCs w:val="44"/>
    </w:rPr>
  </w:style>
  <w:style w:type="paragraph" w:styleId="6">
    <w:name w:val="heading 2"/>
    <w:basedOn w:val="1"/>
    <w:next w:val="1"/>
    <w:link w:val="62"/>
    <w:qFormat/>
    <w:uiPriority w:val="0"/>
    <w:pPr>
      <w:keepNext/>
      <w:keepLines/>
      <w:spacing w:before="260" w:after="260" w:line="416" w:lineRule="auto"/>
      <w:ind w:firstLine="628"/>
      <w:jc w:val="center"/>
      <w:outlineLvl w:val="1"/>
    </w:pPr>
    <w:rPr>
      <w:rFonts w:ascii="Arial" w:hAnsi="Arial" w:eastAsia="黑体"/>
      <w:b/>
      <w:bCs/>
      <w:kern w:val="0"/>
      <w:sz w:val="32"/>
      <w:szCs w:val="32"/>
    </w:rPr>
  </w:style>
  <w:style w:type="paragraph" w:styleId="7">
    <w:name w:val="heading 3"/>
    <w:basedOn w:val="1"/>
    <w:next w:val="1"/>
    <w:link w:val="63"/>
    <w:qFormat/>
    <w:uiPriority w:val="0"/>
    <w:pPr>
      <w:keepNext/>
      <w:keepLines/>
      <w:spacing w:before="260" w:after="260" w:line="416" w:lineRule="auto"/>
      <w:jc w:val="center"/>
      <w:outlineLvl w:val="2"/>
    </w:pPr>
    <w:rPr>
      <w:rFonts w:ascii="宋体"/>
      <w:b/>
      <w:bCs/>
      <w:sz w:val="32"/>
      <w:szCs w:val="32"/>
    </w:rPr>
  </w:style>
  <w:style w:type="paragraph" w:styleId="8">
    <w:name w:val="heading 4"/>
    <w:basedOn w:val="1"/>
    <w:next w:val="1"/>
    <w:qFormat/>
    <w:uiPriority w:val="1"/>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outlineLvl w:val="4"/>
    </w:pPr>
    <w:rPr>
      <w:rFonts w:ascii="宋体" w:hAnsi="Arial"/>
      <w:bCs/>
      <w:sz w:val="28"/>
    </w:rPr>
  </w:style>
  <w:style w:type="paragraph" w:styleId="10">
    <w:name w:val="heading 6"/>
    <w:basedOn w:val="1"/>
    <w:next w:val="1"/>
    <w:qFormat/>
    <w:uiPriority w:val="0"/>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11">
    <w:name w:val="heading 7"/>
    <w:basedOn w:val="1"/>
    <w:next w:val="1"/>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12">
    <w:name w:val="heading 8"/>
    <w:basedOn w:val="1"/>
    <w:next w:val="1"/>
    <w:link w:val="64"/>
    <w:qFormat/>
    <w:uiPriority w:val="0"/>
    <w:pPr>
      <w:keepNext/>
      <w:keepLines/>
      <w:spacing w:before="240" w:after="64" w:line="320" w:lineRule="auto"/>
      <w:outlineLvl w:val="7"/>
    </w:pPr>
    <w:rPr>
      <w:rFonts w:ascii="Arial" w:hAnsi="Arial" w:eastAsia="黑体"/>
      <w:sz w:val="24"/>
      <w:szCs w:val="24"/>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60"/>
    <w:qFormat/>
    <w:uiPriority w:val="0"/>
    <w:pPr>
      <w:autoSpaceDE w:val="0"/>
      <w:autoSpaceDN w:val="0"/>
      <w:adjustRightInd w:val="0"/>
      <w:spacing w:line="360" w:lineRule="auto"/>
      <w:ind w:right="-24" w:rightChars="-10" w:firstLine="425" w:firstLineChars="225"/>
    </w:pPr>
    <w:rPr>
      <w:rFonts w:ascii="Arial" w:eastAsia="仿宋_GB2312"/>
      <w:kern w:val="0"/>
      <w:sz w:val="24"/>
      <w:szCs w:val="32"/>
    </w:rPr>
  </w:style>
  <w:style w:type="paragraph" w:styleId="3">
    <w:name w:val="Body Text"/>
    <w:basedOn w:val="1"/>
    <w:next w:val="4"/>
    <w:qFormat/>
    <w:uiPriority w:val="1"/>
    <w:rPr>
      <w:rFonts w:ascii="宋体" w:hAnsi="Arial"/>
      <w:sz w:val="28"/>
    </w:rPr>
  </w:style>
  <w:style w:type="paragraph" w:customStyle="1" w:styleId="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toc 7"/>
    <w:basedOn w:val="1"/>
    <w:next w:val="1"/>
    <w:qFormat/>
    <w:uiPriority w:val="0"/>
    <w:pPr>
      <w:ind w:left="1260"/>
      <w:jc w:val="left"/>
    </w:pPr>
    <w:rPr>
      <w:szCs w:val="21"/>
    </w:rPr>
  </w:style>
  <w:style w:type="paragraph" w:styleId="14">
    <w:name w:val="Document Map"/>
    <w:basedOn w:val="1"/>
    <w:qFormat/>
    <w:uiPriority w:val="0"/>
    <w:pPr>
      <w:shd w:val="clear" w:color="auto" w:fill="000080"/>
    </w:pPr>
  </w:style>
  <w:style w:type="paragraph" w:styleId="15">
    <w:name w:val="annotation text"/>
    <w:basedOn w:val="1"/>
    <w:link w:val="65"/>
    <w:qFormat/>
    <w:uiPriority w:val="0"/>
    <w:pPr>
      <w:jc w:val="left"/>
    </w:pPr>
  </w:style>
  <w:style w:type="paragraph" w:styleId="16">
    <w:name w:val="Body Text 3"/>
    <w:basedOn w:val="1"/>
    <w:qFormat/>
    <w:uiPriority w:val="0"/>
    <w:rPr>
      <w:rFonts w:ascii="黑体" w:hAnsi="Arial" w:eastAsia="黑体"/>
      <w:b/>
      <w:sz w:val="28"/>
    </w:rPr>
  </w:style>
  <w:style w:type="paragraph" w:styleId="17">
    <w:name w:val="Body Text Indent"/>
    <w:basedOn w:val="1"/>
    <w:next w:val="18"/>
    <w:link w:val="66"/>
    <w:qFormat/>
    <w:uiPriority w:val="0"/>
    <w:pPr>
      <w:ind w:firstLine="645"/>
    </w:pPr>
    <w:rPr>
      <w:rFonts w:ascii="楷体_GB2312" w:eastAsia="楷体_GB2312"/>
      <w:sz w:val="32"/>
    </w:rPr>
  </w:style>
  <w:style w:type="paragraph" w:styleId="18">
    <w:name w:val="envelope return"/>
    <w:basedOn w:val="1"/>
    <w:qFormat/>
    <w:uiPriority w:val="0"/>
    <w:pPr>
      <w:autoSpaceDE w:val="0"/>
      <w:autoSpaceDN w:val="0"/>
      <w:snapToGrid w:val="0"/>
      <w:jc w:val="left"/>
    </w:pPr>
    <w:rPr>
      <w:rFonts w:ascii="Arial" w:hAnsi="Arial" w:cs="宋体"/>
      <w:kern w:val="0"/>
      <w:sz w:val="22"/>
      <w:szCs w:val="22"/>
      <w:lang w:val="zh-CN" w:bidi="zh-CN"/>
    </w:rPr>
  </w:style>
  <w:style w:type="paragraph" w:styleId="19">
    <w:name w:val="toc 5"/>
    <w:basedOn w:val="1"/>
    <w:next w:val="1"/>
    <w:qFormat/>
    <w:uiPriority w:val="0"/>
    <w:pPr>
      <w:ind w:left="840"/>
      <w:jc w:val="left"/>
    </w:pPr>
    <w:rPr>
      <w:szCs w:val="21"/>
    </w:rPr>
  </w:style>
  <w:style w:type="paragraph" w:styleId="20">
    <w:name w:val="toc 3"/>
    <w:basedOn w:val="1"/>
    <w:next w:val="1"/>
    <w:qFormat/>
    <w:uiPriority w:val="39"/>
    <w:pPr>
      <w:ind w:left="420"/>
      <w:jc w:val="left"/>
    </w:pPr>
    <w:rPr>
      <w:iCs/>
      <w:sz w:val="24"/>
      <w:szCs w:val="24"/>
    </w:rPr>
  </w:style>
  <w:style w:type="paragraph" w:styleId="21">
    <w:name w:val="Plain Text"/>
    <w:basedOn w:val="1"/>
    <w:link w:val="67"/>
    <w:qFormat/>
    <w:uiPriority w:val="0"/>
    <w:rPr>
      <w:rFonts w:ascii="宋体" w:hAnsi="Courier New"/>
    </w:rPr>
  </w:style>
  <w:style w:type="paragraph" w:styleId="22">
    <w:name w:val="toc 8"/>
    <w:basedOn w:val="1"/>
    <w:next w:val="1"/>
    <w:qFormat/>
    <w:uiPriority w:val="0"/>
    <w:pPr>
      <w:ind w:left="1470"/>
      <w:jc w:val="left"/>
    </w:pPr>
    <w:rPr>
      <w:szCs w:val="21"/>
    </w:rPr>
  </w:style>
  <w:style w:type="paragraph" w:styleId="23">
    <w:name w:val="Date"/>
    <w:basedOn w:val="1"/>
    <w:next w:val="1"/>
    <w:link w:val="68"/>
    <w:qFormat/>
    <w:uiPriority w:val="0"/>
    <w:rPr>
      <w:b/>
      <w:sz w:val="28"/>
    </w:rPr>
  </w:style>
  <w:style w:type="paragraph" w:styleId="24">
    <w:name w:val="Body Text Indent 2"/>
    <w:basedOn w:val="1"/>
    <w:qFormat/>
    <w:uiPriority w:val="0"/>
    <w:pPr>
      <w:ind w:left="630" w:firstLine="645"/>
    </w:pPr>
    <w:rPr>
      <w:rFonts w:ascii="Arial" w:hAnsi="Arial" w:eastAsia="仿宋_GB2312"/>
      <w:sz w:val="32"/>
    </w:rPr>
  </w:style>
  <w:style w:type="paragraph" w:styleId="25">
    <w:name w:val="Balloon Text"/>
    <w:basedOn w:val="1"/>
    <w:link w:val="69"/>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spacing w:before="120" w:after="120"/>
      <w:jc w:val="left"/>
    </w:pPr>
    <w:rPr>
      <w:caps/>
      <w:sz w:val="24"/>
      <w:szCs w:val="24"/>
    </w:rPr>
  </w:style>
  <w:style w:type="paragraph" w:styleId="29">
    <w:name w:val="toc 4"/>
    <w:basedOn w:val="1"/>
    <w:next w:val="1"/>
    <w:qFormat/>
    <w:uiPriority w:val="0"/>
    <w:pPr>
      <w:ind w:left="630"/>
      <w:jc w:val="left"/>
    </w:pPr>
    <w:rPr>
      <w:szCs w:val="21"/>
    </w:rPr>
  </w:style>
  <w:style w:type="paragraph" w:styleId="30">
    <w:name w:val="toc 6"/>
    <w:basedOn w:val="1"/>
    <w:next w:val="1"/>
    <w:qFormat/>
    <w:uiPriority w:val="0"/>
    <w:pPr>
      <w:ind w:left="1050"/>
      <w:jc w:val="left"/>
    </w:pPr>
    <w:rPr>
      <w:szCs w:val="21"/>
    </w:rPr>
  </w:style>
  <w:style w:type="paragraph" w:styleId="31">
    <w:name w:val="Body Text Indent 3"/>
    <w:basedOn w:val="1"/>
    <w:qFormat/>
    <w:uiPriority w:val="0"/>
    <w:pPr>
      <w:ind w:firstLine="645"/>
    </w:pPr>
    <w:rPr>
      <w:rFonts w:ascii="仿宋_GB2312" w:hAnsi="Arial" w:eastAsia="仿宋_GB2312"/>
      <w:color w:val="000000"/>
      <w:sz w:val="30"/>
    </w:rPr>
  </w:style>
  <w:style w:type="paragraph" w:styleId="32">
    <w:name w:val="toc 2"/>
    <w:basedOn w:val="1"/>
    <w:next w:val="1"/>
    <w:qFormat/>
    <w:uiPriority w:val="39"/>
    <w:pPr>
      <w:ind w:left="210"/>
      <w:jc w:val="left"/>
    </w:pPr>
    <w:rPr>
      <w:smallCaps/>
      <w:sz w:val="24"/>
      <w:szCs w:val="24"/>
    </w:rPr>
  </w:style>
  <w:style w:type="paragraph" w:styleId="33">
    <w:name w:val="toc 9"/>
    <w:basedOn w:val="1"/>
    <w:next w:val="1"/>
    <w:qFormat/>
    <w:uiPriority w:val="0"/>
    <w:pPr>
      <w:ind w:left="1680"/>
      <w:jc w:val="left"/>
    </w:pPr>
    <w:rPr>
      <w:szCs w:val="21"/>
    </w:rPr>
  </w:style>
  <w:style w:type="paragraph" w:styleId="34">
    <w:name w:val="Body Text 2"/>
    <w:basedOn w:val="1"/>
    <w:qFormat/>
    <w:uiPriority w:val="0"/>
    <w:rPr>
      <w:rFonts w:ascii="仿宋_GB2312" w:eastAsia="仿宋_GB2312"/>
      <w:b/>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6">
    <w:name w:val="index 1"/>
    <w:basedOn w:val="1"/>
    <w:next w:val="1"/>
    <w:qFormat/>
    <w:uiPriority w:val="0"/>
    <w:pPr>
      <w:jc w:val="center"/>
    </w:pPr>
    <w:rPr>
      <w:rFonts w:ascii="仿宋_GB2312" w:eastAsia="仿宋_GB2312"/>
      <w:b/>
      <w:bCs/>
      <w:sz w:val="28"/>
    </w:rPr>
  </w:style>
  <w:style w:type="paragraph" w:styleId="37">
    <w:name w:val="Title"/>
    <w:basedOn w:val="1"/>
    <w:next w:val="1"/>
    <w:link w:val="70"/>
    <w:qFormat/>
    <w:uiPriority w:val="0"/>
    <w:pPr>
      <w:spacing w:before="240" w:after="60"/>
      <w:jc w:val="center"/>
      <w:outlineLvl w:val="0"/>
    </w:pPr>
    <w:rPr>
      <w:rFonts w:ascii="Cambria" w:hAnsi="Cambria"/>
      <w:b/>
      <w:bCs/>
      <w:sz w:val="32"/>
      <w:szCs w:val="32"/>
    </w:rPr>
  </w:style>
  <w:style w:type="paragraph" w:styleId="38">
    <w:name w:val="annotation subject"/>
    <w:basedOn w:val="15"/>
    <w:next w:val="15"/>
    <w:link w:val="106"/>
    <w:qFormat/>
    <w:uiPriority w:val="0"/>
    <w:rPr>
      <w:b/>
      <w:bCs/>
    </w:rPr>
  </w:style>
  <w:style w:type="paragraph" w:styleId="39">
    <w:name w:val="Body Text First Indent 2"/>
    <w:basedOn w:val="17"/>
    <w:link w:val="71"/>
    <w:qFormat/>
    <w:uiPriority w:val="0"/>
    <w:pPr>
      <w:spacing w:after="120"/>
      <w:ind w:left="420" w:leftChars="200" w:firstLine="420" w:firstLineChars="200"/>
    </w:pPr>
    <w:rPr>
      <w:sz w:val="21"/>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qFormat/>
    <w:uiPriority w:val="0"/>
  </w:style>
  <w:style w:type="character" w:styleId="45">
    <w:name w:val="FollowedHyperlink"/>
    <w:basedOn w:val="42"/>
    <w:qFormat/>
    <w:uiPriority w:val="0"/>
    <w:rPr>
      <w:color w:val="800080"/>
      <w:u w:val="none"/>
    </w:rPr>
  </w:style>
  <w:style w:type="character" w:styleId="46">
    <w:name w:val="Emphasis"/>
    <w:qFormat/>
    <w:uiPriority w:val="0"/>
    <w:rPr>
      <w:color w:val="CC0033"/>
    </w:rPr>
  </w:style>
  <w:style w:type="character" w:styleId="47">
    <w:name w:val="HTML Definition"/>
    <w:basedOn w:val="42"/>
    <w:qFormat/>
    <w:uiPriority w:val="0"/>
  </w:style>
  <w:style w:type="character" w:styleId="48">
    <w:name w:val="HTML Typewriter"/>
    <w:basedOn w:val="42"/>
    <w:qFormat/>
    <w:uiPriority w:val="0"/>
    <w:rPr>
      <w:rFonts w:ascii="monospace" w:hAnsi="monospace" w:eastAsia="monospace" w:cs="monospace"/>
      <w:sz w:val="20"/>
    </w:rPr>
  </w:style>
  <w:style w:type="character" w:styleId="49">
    <w:name w:val="HTML Acronym"/>
    <w:basedOn w:val="42"/>
    <w:qFormat/>
    <w:uiPriority w:val="0"/>
  </w:style>
  <w:style w:type="character" w:styleId="50">
    <w:name w:val="HTML Variable"/>
    <w:basedOn w:val="42"/>
    <w:qFormat/>
    <w:uiPriority w:val="0"/>
  </w:style>
  <w:style w:type="character" w:styleId="51">
    <w:name w:val="Hyperlink"/>
    <w:basedOn w:val="42"/>
    <w:qFormat/>
    <w:uiPriority w:val="99"/>
    <w:rPr>
      <w:color w:val="0000FF"/>
      <w:u w:val="none"/>
    </w:rPr>
  </w:style>
  <w:style w:type="character" w:styleId="52">
    <w:name w:val="HTML Code"/>
    <w:basedOn w:val="42"/>
    <w:qFormat/>
    <w:uiPriority w:val="0"/>
    <w:rPr>
      <w:rFonts w:hint="default" w:ascii="monospace" w:hAnsi="monospace" w:eastAsia="monospace" w:cs="monospace"/>
      <w:sz w:val="20"/>
    </w:rPr>
  </w:style>
  <w:style w:type="character" w:styleId="53">
    <w:name w:val="annotation reference"/>
    <w:qFormat/>
    <w:uiPriority w:val="0"/>
    <w:rPr>
      <w:sz w:val="21"/>
      <w:szCs w:val="21"/>
    </w:rPr>
  </w:style>
  <w:style w:type="character" w:styleId="54">
    <w:name w:val="HTML Cite"/>
    <w:basedOn w:val="42"/>
    <w:qFormat/>
    <w:uiPriority w:val="0"/>
  </w:style>
  <w:style w:type="character" w:styleId="55">
    <w:name w:val="HTML Keyboard"/>
    <w:basedOn w:val="42"/>
    <w:qFormat/>
    <w:uiPriority w:val="0"/>
    <w:rPr>
      <w:rFonts w:hint="default" w:ascii="monospace" w:hAnsi="monospace" w:eastAsia="monospace" w:cs="monospace"/>
      <w:sz w:val="20"/>
    </w:rPr>
  </w:style>
  <w:style w:type="character" w:styleId="56">
    <w:name w:val="HTML Sample"/>
    <w:basedOn w:val="42"/>
    <w:qFormat/>
    <w:uiPriority w:val="0"/>
    <w:rPr>
      <w:rFonts w:hint="default" w:ascii="monospace" w:hAnsi="monospace" w:eastAsia="monospace" w:cs="monospace"/>
    </w:rPr>
  </w:style>
  <w:style w:type="paragraph" w:customStyle="1" w:styleId="57">
    <w:name w:val="章标题"/>
    <w:next w:val="58"/>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9">
    <w:name w:val="样式 样式 左侧:  2 字符 + 左侧:  0.85 厘米 首行缩进:  2 字符1"/>
    <w:basedOn w:val="1"/>
    <w:qFormat/>
    <w:uiPriority w:val="0"/>
    <w:pPr>
      <w:ind w:left="482" w:firstLine="200" w:firstLineChars="200"/>
    </w:pPr>
  </w:style>
  <w:style w:type="character" w:customStyle="1" w:styleId="60">
    <w:name w:val="正文首行缩进 Char"/>
    <w:link w:val="2"/>
    <w:qFormat/>
    <w:uiPriority w:val="0"/>
    <w:rPr>
      <w:rFonts w:ascii="Arial" w:hAnsi="Arial" w:eastAsia="仿宋_GB2312" w:cs="Arial"/>
      <w:sz w:val="24"/>
      <w:szCs w:val="32"/>
    </w:rPr>
  </w:style>
  <w:style w:type="character" w:customStyle="1" w:styleId="61">
    <w:name w:val="标题 1 Char"/>
    <w:link w:val="5"/>
    <w:qFormat/>
    <w:uiPriority w:val="0"/>
    <w:rPr>
      <w:b/>
      <w:bCs/>
      <w:kern w:val="44"/>
      <w:sz w:val="30"/>
      <w:szCs w:val="44"/>
    </w:rPr>
  </w:style>
  <w:style w:type="character" w:customStyle="1" w:styleId="62">
    <w:name w:val="标题 2 Char"/>
    <w:link w:val="6"/>
    <w:qFormat/>
    <w:uiPriority w:val="0"/>
    <w:rPr>
      <w:rFonts w:ascii="Arial" w:hAnsi="Arial" w:eastAsia="黑体"/>
      <w:b/>
      <w:bCs/>
      <w:sz w:val="32"/>
      <w:szCs w:val="32"/>
    </w:rPr>
  </w:style>
  <w:style w:type="character" w:customStyle="1" w:styleId="63">
    <w:name w:val="标题 3 Char"/>
    <w:link w:val="7"/>
    <w:qFormat/>
    <w:uiPriority w:val="0"/>
    <w:rPr>
      <w:rFonts w:ascii="宋体" w:eastAsia="宋体"/>
      <w:b/>
      <w:bCs/>
      <w:kern w:val="2"/>
      <w:sz w:val="32"/>
      <w:szCs w:val="32"/>
      <w:lang w:val="en-US" w:eastAsia="zh-CN" w:bidi="ar-SA"/>
    </w:rPr>
  </w:style>
  <w:style w:type="character" w:customStyle="1" w:styleId="64">
    <w:name w:val="标题 8 Char"/>
    <w:link w:val="12"/>
    <w:qFormat/>
    <w:uiPriority w:val="0"/>
    <w:rPr>
      <w:rFonts w:ascii="Arial" w:hAnsi="Arial" w:eastAsia="黑体"/>
      <w:kern w:val="2"/>
      <w:sz w:val="24"/>
      <w:szCs w:val="24"/>
      <w:lang w:val="en-US" w:eastAsia="zh-CN" w:bidi="ar-SA"/>
    </w:rPr>
  </w:style>
  <w:style w:type="character" w:customStyle="1" w:styleId="65">
    <w:name w:val="批注文字 Char"/>
    <w:link w:val="15"/>
    <w:qFormat/>
    <w:uiPriority w:val="0"/>
    <w:rPr>
      <w:rFonts w:eastAsia="宋体"/>
      <w:kern w:val="2"/>
      <w:sz w:val="21"/>
      <w:lang w:val="en-US" w:eastAsia="zh-CN" w:bidi="ar-SA"/>
    </w:rPr>
  </w:style>
  <w:style w:type="character" w:customStyle="1" w:styleId="66">
    <w:name w:val="正文文本缩进 Char"/>
    <w:link w:val="17"/>
    <w:qFormat/>
    <w:uiPriority w:val="0"/>
    <w:rPr>
      <w:rFonts w:ascii="楷体_GB2312" w:eastAsia="楷体_GB2312"/>
      <w:kern w:val="2"/>
      <w:sz w:val="32"/>
      <w:lang w:val="en-US" w:eastAsia="zh-CN" w:bidi="ar-SA"/>
    </w:rPr>
  </w:style>
  <w:style w:type="character" w:customStyle="1" w:styleId="67">
    <w:name w:val="纯文本 Char"/>
    <w:link w:val="21"/>
    <w:qFormat/>
    <w:uiPriority w:val="0"/>
    <w:rPr>
      <w:rFonts w:ascii="宋体" w:hAnsi="Courier New"/>
      <w:kern w:val="2"/>
      <w:sz w:val="21"/>
    </w:rPr>
  </w:style>
  <w:style w:type="character" w:customStyle="1" w:styleId="68">
    <w:name w:val="日期 Char"/>
    <w:link w:val="23"/>
    <w:qFormat/>
    <w:uiPriority w:val="0"/>
    <w:rPr>
      <w:rFonts w:eastAsia="宋体"/>
      <w:b/>
      <w:kern w:val="2"/>
      <w:sz w:val="28"/>
      <w:lang w:val="en-US" w:eastAsia="zh-CN" w:bidi="ar-SA"/>
    </w:rPr>
  </w:style>
  <w:style w:type="character" w:customStyle="1" w:styleId="69">
    <w:name w:val="批注框文本 Char"/>
    <w:link w:val="25"/>
    <w:qFormat/>
    <w:uiPriority w:val="0"/>
    <w:rPr>
      <w:kern w:val="2"/>
      <w:sz w:val="18"/>
      <w:szCs w:val="18"/>
    </w:rPr>
  </w:style>
  <w:style w:type="character" w:customStyle="1" w:styleId="70">
    <w:name w:val="标题 Char"/>
    <w:link w:val="37"/>
    <w:qFormat/>
    <w:uiPriority w:val="0"/>
    <w:rPr>
      <w:rFonts w:ascii="Cambria" w:hAnsi="Cambria" w:cs="Times New Roman"/>
      <w:b/>
      <w:bCs/>
      <w:kern w:val="2"/>
      <w:sz w:val="32"/>
      <w:szCs w:val="32"/>
    </w:rPr>
  </w:style>
  <w:style w:type="character" w:customStyle="1" w:styleId="71">
    <w:name w:val="正文首行缩进 2 Char"/>
    <w:link w:val="39"/>
    <w:qFormat/>
    <w:uiPriority w:val="0"/>
    <w:rPr>
      <w:rFonts w:ascii="楷体_GB2312" w:eastAsia="楷体_GB2312"/>
      <w:kern w:val="2"/>
      <w:sz w:val="21"/>
      <w:lang w:val="en-US" w:eastAsia="zh-CN" w:bidi="ar-SA"/>
    </w:rPr>
  </w:style>
  <w:style w:type="character" w:customStyle="1" w:styleId="72">
    <w:name w:val="font21"/>
    <w:qFormat/>
    <w:uiPriority w:val="0"/>
    <w:rPr>
      <w:rFonts w:hint="eastAsia" w:ascii="宋体" w:hAnsi="宋体" w:eastAsia="宋体"/>
      <w:color w:val="3366FF"/>
      <w:sz w:val="24"/>
      <w:szCs w:val="24"/>
      <w:u w:val="none"/>
    </w:rPr>
  </w:style>
  <w:style w:type="character" w:customStyle="1" w:styleId="73">
    <w:name w:val="font61"/>
    <w:qFormat/>
    <w:uiPriority w:val="0"/>
    <w:rPr>
      <w:rFonts w:hint="default" w:ascii="Times New Roman" w:hAnsi="Times New Roman" w:cs="Times New Roman"/>
      <w:color w:val="000000"/>
      <w:sz w:val="16"/>
      <w:szCs w:val="16"/>
      <w:u w:val="none"/>
    </w:rPr>
  </w:style>
  <w:style w:type="character" w:customStyle="1" w:styleId="74">
    <w:name w:val="font11"/>
    <w:basedOn w:val="42"/>
    <w:qFormat/>
    <w:uiPriority w:val="0"/>
    <w:rPr>
      <w:rFonts w:hint="eastAsia" w:ascii="宋体" w:hAnsi="宋体" w:eastAsia="宋体" w:cs="宋体"/>
      <w:color w:val="808080"/>
      <w:sz w:val="16"/>
      <w:szCs w:val="16"/>
      <w:u w:val="none"/>
    </w:rPr>
  </w:style>
  <w:style w:type="paragraph" w:customStyle="1" w:styleId="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6">
    <w:name w:val="Char"/>
    <w:basedOn w:val="1"/>
    <w:qFormat/>
    <w:uiPriority w:val="0"/>
    <w:rPr>
      <w:rFonts w:ascii="Tahoma" w:hAnsi="Tahoma"/>
      <w:sz w:val="24"/>
    </w:rPr>
  </w:style>
  <w:style w:type="paragraph" w:styleId="77">
    <w:name w:val="List Paragraph"/>
    <w:basedOn w:val="1"/>
    <w:qFormat/>
    <w:uiPriority w:val="1"/>
    <w:pPr>
      <w:ind w:firstLine="420" w:firstLineChars="200"/>
    </w:pPr>
    <w:rPr>
      <w:rFonts w:ascii="Calibri" w:hAnsi="Calibri"/>
      <w:szCs w:val="22"/>
    </w:rPr>
  </w:style>
  <w:style w:type="paragraph" w:customStyle="1" w:styleId="78">
    <w:name w:val="样式1"/>
    <w:basedOn w:val="1"/>
    <w:qFormat/>
    <w:uiPriority w:val="0"/>
    <w:pPr>
      <w:numPr>
        <w:ilvl w:val="0"/>
        <w:numId w:val="1"/>
      </w:numPr>
      <w:adjustRightInd w:val="0"/>
      <w:textAlignment w:val="baseline"/>
    </w:pPr>
    <w:rPr>
      <w:rFonts w:ascii="宋体" w:hAnsi="宋体"/>
      <w:kern w:val="0"/>
    </w:rPr>
  </w:style>
  <w:style w:type="paragraph" w:customStyle="1" w:styleId="79">
    <w:name w:val="p0"/>
    <w:basedOn w:val="1"/>
    <w:qFormat/>
    <w:uiPriority w:val="0"/>
    <w:pPr>
      <w:widowControl/>
    </w:pPr>
    <w:rPr>
      <w:kern w:val="0"/>
      <w:szCs w:val="21"/>
    </w:rPr>
  </w:style>
  <w:style w:type="paragraph" w:customStyle="1" w:styleId="80">
    <w:name w:val="D&amp;L"/>
    <w:basedOn w:val="27"/>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1">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82">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83">
    <w:name w:val="基本文字 Char"/>
    <w:basedOn w:val="1"/>
    <w:qFormat/>
    <w:uiPriority w:val="0"/>
    <w:pPr>
      <w:spacing w:before="156" w:line="400" w:lineRule="atLeast"/>
      <w:ind w:firstLine="540" w:firstLineChars="225"/>
    </w:pPr>
    <w:rPr>
      <w:sz w:val="24"/>
    </w:rPr>
  </w:style>
  <w:style w:type="paragraph" w:customStyle="1" w:styleId="84">
    <w:name w:val="_Style 8"/>
    <w:basedOn w:val="1"/>
    <w:qFormat/>
    <w:uiPriority w:val="0"/>
  </w:style>
  <w:style w:type="paragraph" w:customStyle="1" w:styleId="85">
    <w:name w:val="二级标题"/>
    <w:basedOn w:val="1"/>
    <w:next w:val="86"/>
    <w:qFormat/>
    <w:uiPriority w:val="0"/>
    <w:pPr>
      <w:numPr>
        <w:ilvl w:val="0"/>
        <w:numId w:val="2"/>
      </w:numPr>
      <w:tabs>
        <w:tab w:val="clear" w:pos="425"/>
      </w:tabs>
      <w:ind w:left="992" w:hanging="567"/>
      <w:outlineLvl w:val="1"/>
    </w:pPr>
    <w:rPr>
      <w:rFonts w:ascii="黑体" w:eastAsia="黑体"/>
      <w:sz w:val="28"/>
      <w:szCs w:val="24"/>
    </w:rPr>
  </w:style>
  <w:style w:type="paragraph" w:customStyle="1" w:styleId="86">
    <w:name w:val="文章正文"/>
    <w:basedOn w:val="1"/>
    <w:qFormat/>
    <w:uiPriority w:val="0"/>
    <w:pPr>
      <w:numPr>
        <w:ilvl w:val="1"/>
        <w:numId w:val="2"/>
      </w:numPr>
      <w:spacing w:beforeLines="50" w:afterLines="50" w:line="320" w:lineRule="exact"/>
      <w:ind w:left="0" w:firstLine="200" w:firstLineChars="200"/>
    </w:pPr>
    <w:rPr>
      <w:rFonts w:ascii="仿宋_GB2312" w:eastAsia="仿宋_GB2312"/>
      <w:sz w:val="28"/>
      <w:szCs w:val="24"/>
    </w:rPr>
  </w:style>
  <w:style w:type="paragraph" w:customStyle="1" w:styleId="8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89">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9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91">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3">
    <w:name w:val="Char Char Char Char Char Char Char1 Char"/>
    <w:basedOn w:val="1"/>
    <w:qFormat/>
    <w:uiPriority w:val="0"/>
    <w:rPr>
      <w:rFonts w:ascii="Tahoma" w:hAnsi="Tahoma"/>
      <w:sz w:val="24"/>
    </w:rPr>
  </w:style>
  <w:style w:type="paragraph" w:customStyle="1" w:styleId="9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96">
    <w:name w:val="一级标题"/>
    <w:basedOn w:val="1"/>
    <w:next w:val="85"/>
    <w:qFormat/>
    <w:uiPriority w:val="0"/>
    <w:pPr>
      <w:numPr>
        <w:ilvl w:val="2"/>
        <w:numId w:val="2"/>
      </w:numPr>
      <w:tabs>
        <w:tab w:val="left" w:pos="425"/>
      </w:tabs>
      <w:spacing w:afterLines="100"/>
      <w:ind w:left="850" w:hanging="425"/>
      <w:outlineLvl w:val="0"/>
    </w:pPr>
    <w:rPr>
      <w:rFonts w:ascii="黑体" w:eastAsia="黑体"/>
      <w:sz w:val="30"/>
      <w:szCs w:val="28"/>
    </w:rPr>
  </w:style>
  <w:style w:type="paragraph" w:customStyle="1" w:styleId="97">
    <w:name w:val="SUR-需求定义-第4级"/>
    <w:basedOn w:val="8"/>
    <w:next w:val="1"/>
    <w:qFormat/>
    <w:uiPriority w:val="0"/>
    <w:pPr>
      <w:numPr>
        <w:ilvl w:val="3"/>
        <w:numId w:val="3"/>
      </w:numPr>
      <w:tabs>
        <w:tab w:val="clear" w:pos="2934"/>
      </w:tabs>
      <w:spacing w:before="0" w:after="0"/>
      <w:ind w:left="-283" w:firstLine="283"/>
      <w:jc w:val="left"/>
    </w:pPr>
    <w:rPr>
      <w:rFonts w:cs="Arial"/>
      <w:b w:val="0"/>
      <w:color w:val="0000FF"/>
      <w:sz w:val="24"/>
      <w:szCs w:val="24"/>
    </w:rPr>
  </w:style>
  <w:style w:type="paragraph" w:customStyle="1" w:styleId="98">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9">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table" w:customStyle="1" w:styleId="100">
    <w:name w:val="TableGrid"/>
    <w:qFormat/>
    <w:uiPriority w:val="0"/>
    <w:rPr>
      <w:lang w:bidi="zh-CN"/>
    </w:rPr>
    <w:tblPr>
      <w:tblCellMar>
        <w:top w:w="0" w:type="dxa"/>
        <w:left w:w="0" w:type="dxa"/>
        <w:bottom w:w="0" w:type="dxa"/>
        <w:right w:w="0" w:type="dxa"/>
      </w:tblCellMar>
    </w:tblPr>
  </w:style>
  <w:style w:type="table" w:customStyle="1" w:styleId="101">
    <w:name w:val="Table Normal"/>
    <w:qFormat/>
    <w:uiPriority w:val="2"/>
    <w:rPr>
      <w:lang w:bidi="zh-CN"/>
    </w:rPr>
    <w:tblPr>
      <w:tblCellMar>
        <w:top w:w="0" w:type="dxa"/>
        <w:left w:w="0" w:type="dxa"/>
        <w:bottom w:w="0" w:type="dxa"/>
        <w:right w:w="0" w:type="dxa"/>
      </w:tblCellMar>
    </w:tblPr>
  </w:style>
  <w:style w:type="character" w:styleId="102">
    <w:name w:val="Placeholder Text"/>
    <w:basedOn w:val="42"/>
    <w:qFormat/>
    <w:uiPriority w:val="99"/>
    <w:rPr>
      <w:color w:val="808080"/>
    </w:rPr>
  </w:style>
  <w:style w:type="character" w:customStyle="1" w:styleId="103">
    <w:name w:val="first-child1"/>
    <w:basedOn w:val="42"/>
    <w:qFormat/>
    <w:uiPriority w:val="0"/>
  </w:style>
  <w:style w:type="character" w:customStyle="1" w:styleId="104">
    <w:name w:val="fontstyle01"/>
    <w:qFormat/>
    <w:uiPriority w:val="99"/>
    <w:rPr>
      <w:rFonts w:ascii="宋体" w:hAnsi="宋体" w:eastAsia="宋体" w:cs="Times New Roman"/>
      <w:color w:val="000000"/>
      <w:sz w:val="24"/>
      <w:szCs w:val="24"/>
    </w:rPr>
  </w:style>
  <w:style w:type="paragraph" w:customStyle="1" w:styleId="105">
    <w:name w:val="TOC 标题1"/>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106">
    <w:name w:val="批注主题 Char"/>
    <w:basedOn w:val="65"/>
    <w:link w:val="38"/>
    <w:qFormat/>
    <w:uiPriority w:val="0"/>
    <w:rPr>
      <w:rFonts w:eastAsia="宋体"/>
      <w:b/>
      <w:bCs/>
      <w:kern w:val="2"/>
      <w:sz w:val="21"/>
      <w:lang w:val="en-US" w:eastAsia="zh-CN" w:bidi="ar-SA"/>
    </w:rPr>
  </w:style>
  <w:style w:type="paragraph" w:customStyle="1" w:styleId="107">
    <w:name w:val="修订1"/>
    <w:hidden/>
    <w:semiHidden/>
    <w:qFormat/>
    <w:uiPriority w:val="99"/>
    <w:rPr>
      <w:rFonts w:ascii="Times New Roman" w:hAnsi="Times New Roman" w:eastAsia="宋体" w:cs="Times New Roman"/>
      <w:kern w:val="2"/>
      <w:sz w:val="21"/>
      <w:lang w:val="en-US" w:eastAsia="zh-CN" w:bidi="ar-SA"/>
    </w:rPr>
  </w:style>
  <w:style w:type="paragraph" w:customStyle="1" w:styleId="108">
    <w:name w:val="修订2"/>
    <w:hidden/>
    <w:semiHidden/>
    <w:qFormat/>
    <w:uiPriority w:val="99"/>
    <w:rPr>
      <w:rFonts w:ascii="Times New Roman" w:hAnsi="Times New Roman" w:eastAsia="宋体" w:cs="Times New Roman"/>
      <w:kern w:val="2"/>
      <w:sz w:val="21"/>
      <w:lang w:val="en-US" w:eastAsia="zh-CN" w:bidi="ar-SA"/>
    </w:rPr>
  </w:style>
  <w:style w:type="paragraph" w:customStyle="1" w:styleId="109">
    <w:name w:val="修订3"/>
    <w:hidden/>
    <w:semiHidden/>
    <w:qFormat/>
    <w:uiPriority w:val="99"/>
    <w:rPr>
      <w:rFonts w:ascii="Times New Roman" w:hAnsi="Times New Roman" w:eastAsia="宋体" w:cs="Times New Roman"/>
      <w:kern w:val="2"/>
      <w:sz w:val="21"/>
      <w:lang w:val="en-US" w:eastAsia="zh-CN" w:bidi="ar-SA"/>
    </w:rPr>
  </w:style>
  <w:style w:type="paragraph" w:customStyle="1" w:styleId="110">
    <w:name w:val="修订4"/>
    <w:hidden/>
    <w:semiHidden/>
    <w:qFormat/>
    <w:uiPriority w:val="99"/>
    <w:rPr>
      <w:rFonts w:ascii="Times New Roman" w:hAnsi="Times New Roman" w:eastAsia="宋体" w:cs="Times New Roman"/>
      <w:kern w:val="2"/>
      <w:sz w:val="21"/>
      <w:lang w:val="en-US" w:eastAsia="zh-CN" w:bidi="ar-SA"/>
    </w:rPr>
  </w:style>
  <w:style w:type="paragraph" w:customStyle="1" w:styleId="111">
    <w:name w:val="修订5"/>
    <w:hidden/>
    <w:semiHidden/>
    <w:qFormat/>
    <w:uiPriority w:val="99"/>
    <w:rPr>
      <w:rFonts w:ascii="Times New Roman" w:hAnsi="Times New Roman" w:eastAsia="宋体" w:cs="Times New Roman"/>
      <w:kern w:val="2"/>
      <w:sz w:val="21"/>
      <w:lang w:val="en-US" w:eastAsia="zh-CN" w:bidi="ar-SA"/>
    </w:rPr>
  </w:style>
  <w:style w:type="paragraph" w:customStyle="1" w:styleId="112">
    <w:name w:val="Fließtext"/>
    <w:basedOn w:val="1"/>
    <w:qFormat/>
    <w:uiPriority w:val="0"/>
    <w:pPr>
      <w:overflowPunct w:val="0"/>
      <w:autoSpaceDE w:val="0"/>
      <w:autoSpaceDN w:val="0"/>
      <w:adjustRightInd w:val="0"/>
      <w:textAlignment w:val="baseline"/>
    </w:pPr>
    <w:rPr>
      <w:kern w:val="28"/>
      <w:szCs w:val="20"/>
    </w:rPr>
  </w:style>
  <w:style w:type="character" w:customStyle="1" w:styleId="113">
    <w:name w:val="font01"/>
    <w:basedOn w:val="4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4F96BB-48DE-4E17-99C9-852B44343300}">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40</Pages>
  <Words>2635</Words>
  <Characters>15024</Characters>
  <Lines>125</Lines>
  <Paragraphs>35</Paragraphs>
  <TotalTime>15</TotalTime>
  <ScaleCrop>false</ScaleCrop>
  <LinksUpToDate>false</LinksUpToDate>
  <CharactersWithSpaces>17624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2022-08-18T01:59:00Z</dcterms:created>
  <dc:creator>Administrator</dc:creator>
  <cp:lastModifiedBy>zc</cp:lastModifiedBy>
  <cp:lastPrinted>2022-06-24T03:41:00Z</cp:lastPrinted>
  <dcterms:modified xsi:type="dcterms:W3CDTF">2023-05-04T00:55:17Z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8858E14216554AE38BF09A8ADBBB7ECA</vt:lpwstr>
  </property>
</Properties>
</file>