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lang w:val="en-US" w:eastAsia="zh-CN"/>
        </w:rPr>
      </w:pPr>
      <w:r>
        <w:rPr>
          <w:rFonts w:hint="eastAsia" w:ascii="方正小标宋简体" w:eastAsia="方正小标宋简体"/>
          <w:sz w:val="44"/>
          <w:lang w:val="en-US" w:eastAsia="zh-CN"/>
        </w:rPr>
        <w:t>安徽六安技师学院</w:t>
      </w:r>
      <w:r>
        <w:rPr>
          <w:rFonts w:hint="eastAsia" w:ascii="方正小标宋简体" w:eastAsia="方正小标宋简体"/>
          <w:sz w:val="44"/>
        </w:rPr>
        <w:t>鱼饲料采购</w:t>
      </w:r>
      <w:r>
        <w:rPr>
          <w:rFonts w:hint="eastAsia" w:ascii="方正小标宋简体" w:eastAsia="方正小标宋简体"/>
          <w:sz w:val="44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lang w:eastAsia="zh-CN"/>
        </w:rPr>
      </w:pPr>
      <w:r>
        <w:rPr>
          <w:rFonts w:hint="eastAsia" w:ascii="方正小标宋简体" w:eastAsia="方正小标宋简体"/>
          <w:sz w:val="44"/>
        </w:rPr>
        <w:t>询价（函）公告</w:t>
      </w:r>
      <w:r>
        <w:rPr>
          <w:rFonts w:hint="eastAsia" w:ascii="方正小标宋简体" w:eastAsia="方正小标宋简体"/>
          <w:sz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lang w:val="en-US" w:eastAsia="zh-CN"/>
        </w:rPr>
        <w:t>二次</w:t>
      </w:r>
      <w:r>
        <w:rPr>
          <w:rFonts w:hint="eastAsia" w:ascii="方正小标宋简体" w:eastAsia="方正小标宋简体"/>
          <w:sz w:val="44"/>
          <w:lang w:eastAsia="zh-CN"/>
        </w:rPr>
        <w:t>）</w:t>
      </w:r>
    </w:p>
    <w:p>
      <w:pPr>
        <w:jc w:val="left"/>
        <w:rPr>
          <w:rFonts w:ascii="仿宋" w:hAnsi="仿宋" w:eastAsia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各</w:t>
      </w:r>
      <w:r>
        <w:rPr>
          <w:rFonts w:hint="eastAsia" w:ascii="仿宋" w:hAnsi="仿宋" w:eastAsia="仿宋"/>
          <w:b/>
          <w:bCs/>
          <w:sz w:val="32"/>
          <w:lang w:val="en-US" w:eastAsia="zh-CN"/>
        </w:rPr>
        <w:t>潜在供应商</w:t>
      </w:r>
      <w:r>
        <w:rPr>
          <w:rFonts w:hint="eastAsia" w:ascii="仿宋" w:hAnsi="仿宋" w:eastAsia="仿宋"/>
          <w:b/>
          <w:bCs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为保障我院本部校区及二校区景观水塘鱼饲料的供应，现就我院鱼饲料采购项目进行公开询价采购，</w:t>
      </w:r>
      <w:r>
        <w:rPr>
          <w:rFonts w:hint="eastAsia" w:ascii="仿宋" w:hAnsi="仿宋" w:eastAsia="仿宋"/>
          <w:sz w:val="32"/>
        </w:rPr>
        <w:t>欢迎各</w:t>
      </w:r>
      <w:r>
        <w:rPr>
          <w:rFonts w:hint="eastAsia" w:ascii="仿宋" w:hAnsi="仿宋" w:eastAsia="仿宋"/>
          <w:sz w:val="32"/>
          <w:lang w:val="en-US" w:eastAsia="zh-CN"/>
        </w:rPr>
        <w:t>潜在供应商参与</w:t>
      </w:r>
      <w:r>
        <w:rPr>
          <w:rFonts w:hint="eastAsia" w:ascii="仿宋" w:hAnsi="仿宋" w:eastAsia="仿宋"/>
          <w:sz w:val="32"/>
        </w:rPr>
        <w:t>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一、项目内容：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1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ascii="仿宋" w:hAnsi="仿宋" w:eastAsia="仿宋"/>
          <w:sz w:val="32"/>
        </w:rPr>
        <w:t>项目</w:t>
      </w:r>
      <w:r>
        <w:rPr>
          <w:rFonts w:hint="eastAsia" w:ascii="仿宋" w:hAnsi="仿宋" w:eastAsia="仿宋"/>
          <w:sz w:val="32"/>
        </w:rPr>
        <w:t>名称</w:t>
      </w:r>
      <w:r>
        <w:rPr>
          <w:rFonts w:ascii="仿宋" w:hAnsi="仿宋" w:eastAsia="仿宋"/>
          <w:sz w:val="32"/>
        </w:rPr>
        <w:t>：</w:t>
      </w:r>
      <w:r>
        <w:rPr>
          <w:rFonts w:hint="eastAsia" w:ascii="仿宋" w:hAnsi="仿宋" w:eastAsia="仿宋"/>
          <w:sz w:val="32"/>
        </w:rPr>
        <w:t>安徽六安技师学院鱼饲料采购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项目类型：货物类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lang w:val="en-US" w:eastAsia="zh-CN"/>
        </w:rPr>
      </w:pPr>
      <w:r>
        <w:rPr>
          <w:rFonts w:ascii="仿宋" w:hAnsi="仿宋" w:eastAsia="仿宋"/>
          <w:sz w:val="32"/>
        </w:rPr>
        <w:t>3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ascii="仿宋" w:hAnsi="仿宋" w:eastAsia="仿宋"/>
          <w:sz w:val="32"/>
        </w:rPr>
        <w:t>项目地点：安徽六安技师学院</w:t>
      </w:r>
      <w:r>
        <w:rPr>
          <w:rFonts w:hint="eastAsia" w:ascii="仿宋" w:hAnsi="仿宋" w:eastAsia="仿宋"/>
          <w:sz w:val="32"/>
          <w:lang w:val="en-US" w:eastAsia="zh-CN"/>
        </w:rPr>
        <w:t>两个校区内的景观水系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jc w:val="left"/>
        <w:textAlignment w:val="auto"/>
        <w:rPr>
          <w:rFonts w:hint="default" w:ascii="仿宋" w:hAnsi="仿宋" w:eastAsia="仿宋"/>
          <w:sz w:val="32"/>
          <w:lang w:val="en-US" w:eastAsia="zh-CN"/>
        </w:rPr>
      </w:pPr>
      <w:r>
        <w:rPr>
          <w:rFonts w:ascii="仿宋" w:hAnsi="仿宋" w:eastAsia="仿宋"/>
          <w:sz w:val="32"/>
        </w:rPr>
        <w:t>4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  <w:lang w:val="en-US" w:eastAsia="zh-CN"/>
        </w:rPr>
        <w:t>项目采购概况</w:t>
      </w:r>
      <w:r>
        <w:rPr>
          <w:rFonts w:ascii="仿宋" w:hAnsi="仿宋" w:eastAsia="仿宋"/>
          <w:sz w:val="32"/>
        </w:rPr>
        <w:t>：</w:t>
      </w:r>
      <w:r>
        <w:rPr>
          <w:rFonts w:hint="eastAsia" w:ascii="仿宋" w:hAnsi="仿宋" w:eastAsia="仿宋"/>
          <w:sz w:val="32"/>
          <w:lang w:val="en-US" w:eastAsia="zh-CN"/>
        </w:rPr>
        <w:t>鱼饲料采购总量为18吨。供货服务期暂定为1年（2023年9月9日至2024年9月8日），服务期内成交供应商须根据学院需求量，为</w:t>
      </w:r>
      <w:r>
        <w:rPr>
          <w:rFonts w:hint="eastAsia" w:ascii="仿宋" w:hAnsi="仿宋" w:eastAsia="仿宋"/>
          <w:sz w:val="32"/>
        </w:rPr>
        <w:t>学院</w:t>
      </w:r>
      <w:r>
        <w:rPr>
          <w:rFonts w:hint="eastAsia" w:ascii="仿宋" w:hAnsi="仿宋" w:eastAsia="仿宋"/>
          <w:sz w:val="32"/>
          <w:lang w:val="en-US" w:eastAsia="zh-CN"/>
        </w:rPr>
        <w:t>两个校区的</w:t>
      </w:r>
      <w:r>
        <w:rPr>
          <w:rFonts w:hint="eastAsia" w:ascii="仿宋" w:hAnsi="仿宋" w:eastAsia="仿宋"/>
          <w:sz w:val="32"/>
        </w:rPr>
        <w:t>景观</w:t>
      </w:r>
      <w:r>
        <w:rPr>
          <w:rFonts w:hint="eastAsia" w:ascii="仿宋" w:hAnsi="仿宋" w:eastAsia="仿宋"/>
          <w:sz w:val="32"/>
          <w:lang w:val="en-US" w:eastAsia="zh-CN"/>
        </w:rPr>
        <w:t>水系供应</w:t>
      </w:r>
      <w:r>
        <w:rPr>
          <w:rFonts w:hint="eastAsia" w:ascii="仿宋" w:hAnsi="仿宋" w:eastAsia="仿宋"/>
          <w:sz w:val="32"/>
        </w:rPr>
        <w:t>鱼饲料</w:t>
      </w:r>
      <w:r>
        <w:rPr>
          <w:rFonts w:hint="eastAsia" w:ascii="仿宋" w:hAnsi="仿宋" w:eastAsia="仿宋"/>
          <w:sz w:val="32"/>
          <w:lang w:eastAsia="zh-CN"/>
        </w:rPr>
        <w:t>。</w:t>
      </w:r>
      <w:r>
        <w:rPr>
          <w:rFonts w:hint="eastAsia" w:ascii="仿宋" w:hAnsi="仿宋" w:eastAsia="仿宋"/>
          <w:sz w:val="32"/>
          <w:lang w:val="en-US" w:eastAsia="zh-CN"/>
        </w:rPr>
        <w:t>若一年服务期内鱼饲料用量未达到18吨，则服务期自动顺延，直至用满18吨为止。若一年服务期内已用满18吨，则服务期自动终止。供货的批次、配送地点、配送时间及供货量须服从院方安排。学院按照成交单价结合实际供货量每季度结算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jc w:val="left"/>
        <w:textAlignment w:val="auto"/>
        <w:rPr>
          <w:rFonts w:hint="default" w:ascii="仿宋" w:hAnsi="仿宋" w:eastAsia="仿宋"/>
          <w:sz w:val="32"/>
          <w:lang w:val="en-US" w:eastAsia="zh-CN"/>
        </w:rPr>
      </w:pPr>
      <w:r>
        <w:rPr>
          <w:rFonts w:ascii="仿宋" w:hAnsi="仿宋" w:eastAsia="仿宋"/>
          <w:sz w:val="32"/>
        </w:rPr>
        <w:t>5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ascii="仿宋" w:hAnsi="仿宋" w:eastAsia="仿宋"/>
          <w:sz w:val="32"/>
        </w:rPr>
        <w:t>项目</w:t>
      </w:r>
      <w:r>
        <w:rPr>
          <w:rFonts w:hint="eastAsia" w:ascii="仿宋" w:hAnsi="仿宋" w:eastAsia="仿宋"/>
          <w:sz w:val="32"/>
        </w:rPr>
        <w:t>预算：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12</w:t>
      </w:r>
      <w:r>
        <w:rPr>
          <w:rFonts w:ascii="仿宋" w:hAnsi="仿宋" w:eastAsia="仿宋"/>
          <w:sz w:val="32"/>
          <w:highlight w:val="none"/>
        </w:rPr>
        <w:t>万元</w:t>
      </w:r>
      <w:r>
        <w:rPr>
          <w:rFonts w:hint="eastAsia" w:ascii="仿宋" w:hAnsi="仿宋" w:eastAsia="仿宋"/>
          <w:sz w:val="32"/>
        </w:rPr>
        <w:t>。</w:t>
      </w:r>
      <w:r>
        <w:rPr>
          <w:rFonts w:hint="eastAsia" w:ascii="仿宋" w:hAnsi="仿宋" w:eastAsia="仿宋"/>
          <w:sz w:val="32"/>
          <w:lang w:val="en-US" w:eastAsia="zh-CN"/>
        </w:rPr>
        <w:t>每吨最高限价为6666.6元，供应商所报价格需包含每次供货的配送费，税费，人工费等一切不可见费用。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sz w:val="32"/>
        </w:rPr>
        <w:t>　</w:t>
      </w:r>
      <w:r>
        <w:rPr>
          <w:rFonts w:hint="eastAsia" w:ascii="仿宋" w:hAnsi="仿宋" w:eastAsia="仿宋"/>
          <w:b/>
          <w:bCs/>
          <w:sz w:val="32"/>
        </w:rPr>
        <w:t>　二、供应商资格条件：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1、符合《中华人民共和国政府采购法》第二十二条规定；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2、供应商应为具有相关经营许可资质及供货能力的法人、其他组织或者自然人；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</w:rPr>
        <w:t>本项目不接受联合体</w:t>
      </w:r>
      <w:r>
        <w:rPr>
          <w:rFonts w:hint="eastAsia" w:ascii="仿宋" w:hAnsi="仿宋" w:eastAsia="仿宋"/>
          <w:sz w:val="32"/>
          <w:lang w:val="en-US" w:eastAsia="zh-CN"/>
        </w:rPr>
        <w:t>响应</w:t>
      </w:r>
      <w:r>
        <w:rPr>
          <w:rFonts w:hint="eastAsia" w:ascii="仿宋" w:hAnsi="仿宋" w:eastAsia="仿宋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sz w:val="32"/>
        </w:rPr>
        <w:t>　</w:t>
      </w:r>
      <w:r>
        <w:rPr>
          <w:rFonts w:hint="eastAsia" w:ascii="仿宋" w:hAnsi="仿宋" w:eastAsia="仿宋"/>
          <w:b/>
          <w:bCs/>
          <w:sz w:val="32"/>
        </w:rPr>
        <w:t>　三、报价时间及方式：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</w:rPr>
        <w:t>　　</w:t>
      </w:r>
      <w:r>
        <w:rPr>
          <w:rFonts w:hint="eastAsia" w:ascii="仿宋" w:hAnsi="仿宋" w:eastAsia="仿宋"/>
          <w:sz w:val="32"/>
          <w:lang w:val="en-US" w:eastAsia="zh-CN"/>
        </w:rPr>
        <w:t>1、报价递交截至时间</w:t>
      </w:r>
      <w:r>
        <w:rPr>
          <w:rFonts w:hint="eastAsia" w:ascii="仿宋" w:hAnsi="仿宋" w:eastAsia="仿宋"/>
          <w:sz w:val="32"/>
        </w:rPr>
        <w:t>：</w:t>
      </w:r>
      <w:r>
        <w:rPr>
          <w:rFonts w:ascii="仿宋" w:hAnsi="仿宋" w:eastAsia="仿宋"/>
          <w:sz w:val="32"/>
        </w:rPr>
        <w:t>202</w:t>
      </w:r>
      <w:r>
        <w:rPr>
          <w:rFonts w:hint="eastAsia" w:ascii="仿宋" w:hAnsi="仿宋" w:eastAsia="仿宋"/>
          <w:sz w:val="32"/>
          <w:lang w:val="en-US" w:eastAsia="zh-CN"/>
        </w:rPr>
        <w:t>3</w:t>
      </w:r>
      <w:r>
        <w:rPr>
          <w:rFonts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9</w:t>
      </w:r>
      <w:r>
        <w:rPr>
          <w:rFonts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ascii="仿宋" w:hAnsi="仿宋" w:eastAsia="仿宋"/>
          <w:sz w:val="32"/>
        </w:rPr>
        <w:t>日</w:t>
      </w:r>
      <w:r>
        <w:rPr>
          <w:rFonts w:hint="eastAsia" w:ascii="仿宋" w:hAnsi="仿宋" w:eastAsia="仿宋"/>
          <w:sz w:val="32"/>
          <w:lang w:val="en-US" w:eastAsia="zh-CN"/>
        </w:rPr>
        <w:t>9</w:t>
      </w:r>
      <w:r>
        <w:rPr>
          <w:rFonts w:ascii="仿宋" w:hAnsi="仿宋" w:eastAsia="仿宋"/>
          <w:sz w:val="32"/>
        </w:rPr>
        <w:t>时30分（北京时间）</w:t>
      </w:r>
      <w:r>
        <w:rPr>
          <w:rFonts w:hint="eastAsia" w:ascii="仿宋" w:hAnsi="仿宋" w:eastAsia="仿宋"/>
          <w:sz w:val="32"/>
          <w:lang w:eastAsia="zh-CN"/>
        </w:rPr>
        <w:t>，</w:t>
      </w:r>
      <w:r>
        <w:rPr>
          <w:rFonts w:ascii="仿宋" w:hAnsi="仿宋" w:eastAsia="仿宋"/>
          <w:sz w:val="32"/>
        </w:rPr>
        <w:t>逾期送达的报价文件恕不接</w:t>
      </w:r>
      <w:r>
        <w:rPr>
          <w:rFonts w:hint="eastAsia" w:ascii="仿宋" w:hAnsi="仿宋" w:eastAsia="仿宋"/>
          <w:sz w:val="32"/>
          <w:lang w:val="en-US" w:eastAsia="zh-CN"/>
        </w:rPr>
        <w:t>收</w:t>
      </w:r>
      <w:r>
        <w:rPr>
          <w:rFonts w:hint="eastAsia" w:ascii="仿宋" w:hAnsi="仿宋" w:eastAsia="仿宋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</w:rPr>
        <w:t>　　</w:t>
      </w:r>
      <w:r>
        <w:rPr>
          <w:rFonts w:hint="eastAsia" w:ascii="仿宋" w:hAnsi="仿宋" w:eastAsia="仿宋"/>
          <w:sz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</w:rPr>
        <w:t>报价地点：安徽六安技师学院（本部）行政楼</w:t>
      </w:r>
      <w:r>
        <w:rPr>
          <w:rFonts w:ascii="仿宋" w:hAnsi="仿宋" w:eastAsia="仿宋"/>
          <w:sz w:val="32"/>
        </w:rPr>
        <w:t>2</w:t>
      </w:r>
      <w:r>
        <w:rPr>
          <w:rFonts w:hint="eastAsia" w:ascii="仿宋" w:hAnsi="仿宋" w:eastAsia="仿宋"/>
          <w:sz w:val="32"/>
          <w:lang w:val="en-US" w:eastAsia="zh-CN"/>
        </w:rPr>
        <w:t>15</w:t>
      </w:r>
      <w:r>
        <w:rPr>
          <w:rFonts w:ascii="仿宋" w:hAnsi="仿宋" w:eastAsia="仿宋"/>
          <w:sz w:val="32"/>
        </w:rPr>
        <w:t>室</w:t>
      </w:r>
      <w:r>
        <w:rPr>
          <w:rFonts w:hint="eastAsia" w:ascii="仿宋" w:hAnsi="仿宋" w:eastAsia="仿宋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　　</w:t>
      </w:r>
      <w:r>
        <w:rPr>
          <w:rFonts w:hint="eastAsia" w:ascii="仿宋" w:hAnsi="仿宋" w:eastAsia="仿宋"/>
          <w:sz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</w:rPr>
        <w:t>报价文件组成：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left"/>
        <w:textAlignment w:val="auto"/>
        <w:outlineLvl w:val="3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/>
          <w:sz w:val="32"/>
        </w:rPr>
        <w:t>投标人营业执照复印件（盖章）；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left"/>
        <w:textAlignment w:val="auto"/>
        <w:outlineLvl w:val="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投标人法定代表人</w:t>
      </w:r>
      <w:r>
        <w:rPr>
          <w:rFonts w:hint="eastAsia" w:ascii="仿宋" w:hAnsi="仿宋" w:eastAsia="仿宋"/>
          <w:sz w:val="32"/>
          <w:lang w:eastAsia="zh-CN"/>
        </w:rPr>
        <w:t>（</w:t>
      </w:r>
      <w:r>
        <w:rPr>
          <w:rFonts w:hint="eastAsia" w:ascii="仿宋" w:hAnsi="仿宋" w:eastAsia="仿宋"/>
          <w:sz w:val="32"/>
          <w:lang w:val="en-US" w:eastAsia="zh-CN"/>
        </w:rPr>
        <w:t>或自然人</w:t>
      </w:r>
      <w:r>
        <w:rPr>
          <w:rFonts w:hint="eastAsia" w:ascii="仿宋" w:hAnsi="仿宋" w:eastAsia="仿宋"/>
          <w:sz w:val="32"/>
          <w:lang w:eastAsia="zh-CN"/>
        </w:rPr>
        <w:t>）</w:t>
      </w:r>
      <w:r>
        <w:rPr>
          <w:rFonts w:hint="eastAsia" w:ascii="仿宋" w:hAnsi="仿宋" w:eastAsia="仿宋"/>
          <w:sz w:val="32"/>
        </w:rPr>
        <w:t>身份证复印件（盖章）；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left"/>
        <w:textAlignment w:val="auto"/>
        <w:outlineLvl w:val="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授权委托书、受委托人（联系人）身份证明(盖章，如有授权)；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left"/>
        <w:textAlignment w:val="auto"/>
        <w:outlineLvl w:val="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报价（最终报价）表（格式见附件）</w:t>
      </w:r>
      <w:r>
        <w:rPr>
          <w:rFonts w:hint="eastAsia" w:ascii="仿宋" w:hAnsi="仿宋" w:eastAsia="仿宋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left"/>
        <w:textAlignment w:val="auto"/>
        <w:outlineLvl w:val="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饲料</w:t>
      </w:r>
      <w:r>
        <w:rPr>
          <w:rFonts w:hint="eastAsia" w:ascii="仿宋" w:hAnsi="仿宋" w:eastAsia="仿宋"/>
          <w:sz w:val="32"/>
        </w:rPr>
        <w:t>品种、品牌、型号等参数及服务。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以上</w:t>
      </w:r>
      <w:r>
        <w:rPr>
          <w:rFonts w:hint="eastAsia" w:ascii="仿宋" w:hAnsi="仿宋" w:eastAsia="仿宋"/>
          <w:sz w:val="32"/>
        </w:rPr>
        <w:t>所有资料需加盖公章。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响应</w:t>
      </w:r>
      <w:r>
        <w:rPr>
          <w:rFonts w:hint="eastAsia" w:ascii="仿宋" w:hAnsi="仿宋" w:eastAsia="仿宋"/>
          <w:sz w:val="32"/>
        </w:rPr>
        <w:t>报价方式：</w:t>
      </w:r>
      <w:r>
        <w:rPr>
          <w:rFonts w:hint="eastAsia" w:ascii="仿宋" w:hAnsi="仿宋" w:eastAsia="仿宋"/>
          <w:sz w:val="32"/>
          <w:lang w:val="en-US" w:eastAsia="zh-CN"/>
        </w:rPr>
        <w:t>各投标供应商按报价要求将纸质报价材料需密封加盖公章</w:t>
      </w:r>
      <w:r>
        <w:rPr>
          <w:rFonts w:hint="eastAsia" w:ascii="仿宋" w:hAnsi="仿宋" w:eastAsia="仿宋"/>
          <w:sz w:val="32"/>
        </w:rPr>
        <w:t>指定专人现场递交报价文件</w:t>
      </w:r>
      <w:r>
        <w:rPr>
          <w:rFonts w:hint="eastAsia" w:ascii="仿宋" w:hAnsi="仿宋" w:eastAsia="仿宋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3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sz w:val="32"/>
        </w:rPr>
        <w:t>　　</w:t>
      </w:r>
      <w:r>
        <w:rPr>
          <w:rFonts w:hint="eastAsia" w:ascii="仿宋" w:hAnsi="仿宋" w:eastAsia="仿宋"/>
          <w:b/>
          <w:bCs/>
          <w:sz w:val="32"/>
        </w:rPr>
        <w:t>四、成交原则：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若本次询价采购有效报价的供应商不足3家，该项目仍继续开标，按照合理低价法确定供应商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　　</w:t>
      </w:r>
      <w:r>
        <w:rPr>
          <w:rFonts w:hint="eastAsia" w:ascii="仿宋" w:hAnsi="仿宋" w:eastAsia="仿宋"/>
          <w:b/>
          <w:bCs/>
          <w:sz w:val="32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jc w:val="left"/>
        <w:textAlignment w:val="auto"/>
        <w:rPr>
          <w:rFonts w:hint="default" w:ascii="仿宋" w:hAnsi="仿宋" w:eastAsia="仿宋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</w:rPr>
        <w:t>联</w:t>
      </w:r>
      <w:r>
        <w:rPr>
          <w:rFonts w:hint="eastAsia" w:ascii="仿宋" w:hAnsi="仿宋" w:eastAsia="仿宋"/>
          <w:sz w:val="32"/>
          <w:highlight w:val="none"/>
        </w:rPr>
        <w:t>系人：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 xml:space="preserve">邵老师   </w:t>
      </w:r>
      <w:r>
        <w:rPr>
          <w:rFonts w:ascii="仿宋" w:hAnsi="仿宋" w:eastAsia="仿宋"/>
          <w:sz w:val="32"/>
          <w:highlight w:val="none"/>
        </w:rPr>
        <w:t>联系电话：0564</w:t>
      </w:r>
      <w:r>
        <w:rPr>
          <w:rFonts w:hint="eastAsia" w:ascii="仿宋" w:hAnsi="仿宋" w:eastAsia="仿宋"/>
          <w:sz w:val="32"/>
          <w:highlight w:val="none"/>
        </w:rPr>
        <w:t>-</w:t>
      </w:r>
      <w:r>
        <w:rPr>
          <w:rFonts w:ascii="仿宋" w:hAnsi="仿宋" w:eastAsia="仿宋"/>
          <w:sz w:val="32"/>
          <w:highlight w:val="none"/>
        </w:rPr>
        <w:t>3359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119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jc w:val="left"/>
        <w:textAlignment w:val="auto"/>
        <w:rPr>
          <w:rFonts w:ascii="仿宋" w:hAnsi="仿宋" w:eastAsia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jc w:val="left"/>
        <w:textAlignment w:val="auto"/>
        <w:rPr>
          <w:rFonts w:ascii="仿宋" w:hAnsi="仿宋" w:eastAsia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jc w:val="right"/>
        <w:textAlignment w:val="auto"/>
        <w:rPr>
          <w:rFonts w:hint="eastAsia" w:ascii="仿宋" w:hAnsi="仿宋" w:eastAsia="仿宋"/>
          <w:sz w:val="32"/>
          <w:highlight w:val="none"/>
        </w:rPr>
      </w:pPr>
      <w:r>
        <w:rPr>
          <w:rFonts w:hint="eastAsia" w:ascii="仿宋" w:hAnsi="仿宋" w:eastAsia="仿宋"/>
          <w:sz w:val="32"/>
          <w:highlight w:val="none"/>
        </w:rPr>
        <w:t>2</w:t>
      </w:r>
      <w:r>
        <w:rPr>
          <w:rFonts w:ascii="仿宋" w:hAnsi="仿宋" w:eastAsia="仿宋"/>
          <w:sz w:val="32"/>
          <w:highlight w:val="none"/>
        </w:rPr>
        <w:t>02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highlight w:val="none"/>
        </w:rPr>
        <w:t>年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highlight w:val="none"/>
        </w:rPr>
        <w:t>月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jc w:val="left"/>
        <w:textAlignment w:val="auto"/>
        <w:rPr>
          <w:rFonts w:hint="eastAsia" w:ascii="仿宋" w:hAnsi="仿宋" w:eastAsia="仿宋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jc w:val="left"/>
        <w:textAlignment w:val="auto"/>
        <w:rPr>
          <w:rFonts w:hint="eastAsia" w:ascii="仿宋" w:hAnsi="仿宋" w:eastAsia="仿宋"/>
          <w:sz w:val="32"/>
          <w:highlight w:val="none"/>
        </w:rPr>
      </w:pPr>
      <w:r>
        <w:rPr>
          <w:rFonts w:hint="eastAsia" w:ascii="仿宋" w:hAnsi="仿宋" w:eastAsia="仿宋"/>
          <w:sz w:val="32"/>
          <w:highlight w:val="none"/>
        </w:rPr>
        <w:t>（文字：邵笑| 初审：惠晓云| 复审：汪泓）</w:t>
      </w:r>
    </w:p>
    <w:p>
      <w:pPr>
        <w:ind w:firstLine="645"/>
        <w:jc w:val="left"/>
        <w:rPr>
          <w:rFonts w:ascii="仿宋" w:hAnsi="仿宋" w:eastAsia="仿宋"/>
          <w:sz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widowControl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44"/>
          <w:szCs w:val="32"/>
        </w:rPr>
        <w:t>报 价 表</w:t>
      </w:r>
    </w:p>
    <w:p>
      <w:pPr>
        <w:widowControl/>
        <w:ind w:left="1606" w:hanging="1606" w:hangingChars="5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ind w:left="1606" w:hanging="1606" w:hangingChars="5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项目名称: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安徽六安技师学院鱼饲料采购</w:t>
      </w:r>
    </w:p>
    <w:p>
      <w:pPr>
        <w:widowControl/>
        <w:ind w:left="1500" w:hanging="1500" w:hangingChars="500"/>
        <w:jc w:val="left"/>
        <w:rPr>
          <w:rFonts w:ascii="仿宋_GB2312" w:hAnsi="仿宋_GB2312" w:eastAsia="仿宋_GB2312" w:cs="仿宋_GB2312"/>
          <w:sz w:val="30"/>
          <w:szCs w:val="30"/>
        </w:rPr>
      </w:pPr>
    </w:p>
    <w:tbl>
      <w:tblPr>
        <w:tblStyle w:val="5"/>
        <w:tblW w:w="955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5"/>
        <w:gridCol w:w="1406"/>
        <w:gridCol w:w="1815"/>
        <w:gridCol w:w="600"/>
        <w:gridCol w:w="1140"/>
        <w:gridCol w:w="1665"/>
        <w:gridCol w:w="1258"/>
        <w:gridCol w:w="12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规格参数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采购数量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供应商单价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鱼饲料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蛋白质含量≥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膨化饲料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91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1、产品质量符合国家饲料行业标准规定；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2、报价包含饲料运输、搬运、人工、税费等所有费用。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59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人民币（大写）：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整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                 </w:t>
            </w:r>
          </w:p>
          <w:p>
            <w:pPr>
              <w:widowControl/>
              <w:ind w:firstLine="1205" w:firstLineChars="500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1205" w:firstLineChars="500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Arial" w:hAnsi="Arial" w:eastAsia="宋体" w:cs="Arial"/>
                <w:b/>
                <w:color w:val="000000"/>
                <w:kern w:val="0"/>
                <w:sz w:val="24"/>
                <w:szCs w:val="24"/>
              </w:rPr>
              <w:t>¥</w:t>
            </w:r>
            <w:r>
              <w:rPr>
                <w:rFonts w:hint="eastAsia" w:ascii="Arial" w:hAnsi="Arial" w:eastAsia="宋体" w:cs="Arial"/>
                <w:b/>
                <w:color w:val="000000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Arial" w:hAnsi="Arial" w:eastAsia="宋体" w:cs="Arial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1.以供应商每吨鱼饲料单价为报价;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2.所采购的饲料粒径</w:t>
      </w:r>
      <w:r>
        <w:rPr>
          <w:rFonts w:ascii="仿宋_GB2312" w:hAnsi="仿宋_GB2312" w:eastAsia="仿宋_GB2312" w:cs="仿宋_GB2312"/>
          <w:sz w:val="32"/>
          <w:szCs w:val="32"/>
        </w:rPr>
        <w:t>在供货时以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的要求</w:t>
      </w:r>
      <w:r>
        <w:rPr>
          <w:rFonts w:ascii="仿宋_GB2312" w:hAnsi="仿宋_GB2312" w:eastAsia="仿宋_GB2312" w:cs="仿宋_GB2312"/>
          <w:sz w:val="32"/>
          <w:szCs w:val="32"/>
        </w:rPr>
        <w:t>为准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3.供应商所报每吨鱼饲料单价不得超过每吨最高限价6666.6元，总价不超过12万，否则报价无效。</w:t>
      </w:r>
    </w:p>
    <w:p>
      <w:pPr>
        <w:widowControl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ind w:left="1600" w:firstLine="2560" w:firstLineChars="8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供应商名称（签章）：</w:t>
      </w:r>
    </w:p>
    <w:p>
      <w:pPr>
        <w:widowControl/>
        <w:ind w:left="160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ind w:left="1600" w:firstLine="2560" w:firstLineChars="8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供应商代表（签字）:</w:t>
      </w:r>
    </w:p>
    <w:p>
      <w:pPr>
        <w:widowControl/>
        <w:ind w:left="160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ind w:left="1600" w:firstLine="2560" w:firstLineChars="800"/>
        <w:jc w:val="left"/>
        <w:rPr>
          <w:rFonts w:ascii="Calibri" w:hAnsi="Calibri" w:eastAsia="宋体" w:cs="Times New Roman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报价时间：    年   月   日</w:t>
      </w:r>
    </w:p>
    <w:p>
      <w:pPr>
        <w:jc w:val="left"/>
        <w:rPr>
          <w:rFonts w:ascii="仿宋" w:hAnsi="仿宋" w:eastAsia="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F20217"/>
    <w:multiLevelType w:val="singleLevel"/>
    <w:tmpl w:val="B1F20217"/>
    <w:lvl w:ilvl="0" w:tentative="0">
      <w:start w:val="4"/>
      <w:numFmt w:val="decimal"/>
      <w:suff w:val="nothing"/>
      <w:lvlText w:val="（%1）"/>
      <w:lvlJc w:val="left"/>
      <w:pPr>
        <w:tabs>
          <w:tab w:val="left" w:pos="420"/>
        </w:tabs>
        <w:ind w:left="0" w:leftChars="0" w:firstLine="0" w:firstLineChars="0"/>
      </w:pPr>
    </w:lvl>
  </w:abstractNum>
  <w:abstractNum w:abstractNumId="1">
    <w:nsid w:val="D53EB423"/>
    <w:multiLevelType w:val="singleLevel"/>
    <w:tmpl w:val="D53EB423"/>
    <w:lvl w:ilvl="0" w:tentative="0">
      <w:start w:val="3"/>
      <w:numFmt w:val="decimal"/>
      <w:suff w:val="nothing"/>
      <w:lvlText w:val="（%1）"/>
      <w:lvlJc w:val="left"/>
      <w:pPr>
        <w:tabs>
          <w:tab w:val="left" w:pos="420"/>
        </w:tabs>
        <w:ind w:left="0" w:leftChars="0" w:firstLine="0" w:firstLineChars="0"/>
      </w:pPr>
    </w:lvl>
  </w:abstractNum>
  <w:abstractNum w:abstractNumId="2">
    <w:nsid w:val="06E02174"/>
    <w:multiLevelType w:val="singleLevel"/>
    <w:tmpl w:val="06E02174"/>
    <w:lvl w:ilvl="0" w:tentative="0">
      <w:start w:val="4"/>
      <w:numFmt w:val="decimal"/>
      <w:suff w:val="nothing"/>
      <w:lvlText w:val="%1、"/>
      <w:lvlJc w:val="left"/>
    </w:lvl>
  </w:abstractNum>
  <w:abstractNum w:abstractNumId="3">
    <w:nsid w:val="51523A1E"/>
    <w:multiLevelType w:val="singleLevel"/>
    <w:tmpl w:val="51523A1E"/>
    <w:lvl w:ilvl="0" w:tentative="0">
      <w:start w:val="2"/>
      <w:numFmt w:val="decimal"/>
      <w:suff w:val="nothing"/>
      <w:lvlText w:val="（%1）"/>
      <w:lvlJc w:val="left"/>
      <w:pPr>
        <w:tabs>
          <w:tab w:val="left" w:pos="420"/>
        </w:tabs>
        <w:ind w:left="0" w:leftChars="0" w:firstLine="0" w:firstLineChars="0"/>
      </w:pPr>
    </w:lvl>
  </w:abstractNum>
  <w:abstractNum w:abstractNumId="4">
    <w:nsid w:val="544547E4"/>
    <w:multiLevelType w:val="singleLevel"/>
    <w:tmpl w:val="544547E4"/>
    <w:lvl w:ilvl="0" w:tentative="0">
      <w:start w:val="1"/>
      <w:numFmt w:val="decimal"/>
      <w:suff w:val="nothing"/>
      <w:lvlText w:val="（%1）"/>
      <w:lvlJc w:val="left"/>
      <w:pPr>
        <w:tabs>
          <w:tab w:val="left" w:pos="420"/>
        </w:tabs>
        <w:ind w:left="0" w:leftChars="0" w:firstLine="0" w:firstLineChars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kMzMxNjQ2MWRmZTFhNjRkOWYzYmQwMjBhOGZmYTgifQ=="/>
  </w:docVars>
  <w:rsids>
    <w:rsidRoot w:val="003E2055"/>
    <w:rsid w:val="000E4CF4"/>
    <w:rsid w:val="00182F95"/>
    <w:rsid w:val="001D548B"/>
    <w:rsid w:val="001E5E6A"/>
    <w:rsid w:val="00217A58"/>
    <w:rsid w:val="002268D8"/>
    <w:rsid w:val="00277DFA"/>
    <w:rsid w:val="0031185F"/>
    <w:rsid w:val="003334A3"/>
    <w:rsid w:val="00354B40"/>
    <w:rsid w:val="00355FCE"/>
    <w:rsid w:val="003642A6"/>
    <w:rsid w:val="00366ECE"/>
    <w:rsid w:val="003D0357"/>
    <w:rsid w:val="003E2055"/>
    <w:rsid w:val="00443D74"/>
    <w:rsid w:val="00484865"/>
    <w:rsid w:val="004F49EF"/>
    <w:rsid w:val="0059011F"/>
    <w:rsid w:val="005B124B"/>
    <w:rsid w:val="005B1663"/>
    <w:rsid w:val="00621060"/>
    <w:rsid w:val="0062723B"/>
    <w:rsid w:val="006B143A"/>
    <w:rsid w:val="00734DB9"/>
    <w:rsid w:val="00766069"/>
    <w:rsid w:val="007C39E7"/>
    <w:rsid w:val="00823B4B"/>
    <w:rsid w:val="008363CA"/>
    <w:rsid w:val="0084038B"/>
    <w:rsid w:val="008A7C3C"/>
    <w:rsid w:val="009F76EF"/>
    <w:rsid w:val="00A87942"/>
    <w:rsid w:val="00C75912"/>
    <w:rsid w:val="00C9224C"/>
    <w:rsid w:val="00C931F2"/>
    <w:rsid w:val="00D13984"/>
    <w:rsid w:val="00DA378F"/>
    <w:rsid w:val="00DE1CF5"/>
    <w:rsid w:val="00E80663"/>
    <w:rsid w:val="00E91905"/>
    <w:rsid w:val="00F41A62"/>
    <w:rsid w:val="00F87F69"/>
    <w:rsid w:val="00F900DE"/>
    <w:rsid w:val="04DC2E56"/>
    <w:rsid w:val="075A4DDA"/>
    <w:rsid w:val="09D73678"/>
    <w:rsid w:val="0A3A2695"/>
    <w:rsid w:val="10903220"/>
    <w:rsid w:val="10EA1EE2"/>
    <w:rsid w:val="124B21E4"/>
    <w:rsid w:val="12D40754"/>
    <w:rsid w:val="13051255"/>
    <w:rsid w:val="14614D58"/>
    <w:rsid w:val="14B24AC5"/>
    <w:rsid w:val="19A30E80"/>
    <w:rsid w:val="1A3F0A80"/>
    <w:rsid w:val="1D444728"/>
    <w:rsid w:val="2021521D"/>
    <w:rsid w:val="2239018F"/>
    <w:rsid w:val="268838D8"/>
    <w:rsid w:val="26FE3EB3"/>
    <w:rsid w:val="27286E69"/>
    <w:rsid w:val="2AB26E33"/>
    <w:rsid w:val="2BAE4AC7"/>
    <w:rsid w:val="32283019"/>
    <w:rsid w:val="34BD5094"/>
    <w:rsid w:val="36A4650C"/>
    <w:rsid w:val="37976071"/>
    <w:rsid w:val="37E44DE6"/>
    <w:rsid w:val="3AC147A5"/>
    <w:rsid w:val="402317B5"/>
    <w:rsid w:val="41073EA4"/>
    <w:rsid w:val="41783A06"/>
    <w:rsid w:val="42C140DC"/>
    <w:rsid w:val="44FF28EA"/>
    <w:rsid w:val="45251326"/>
    <w:rsid w:val="45F0527E"/>
    <w:rsid w:val="5004753D"/>
    <w:rsid w:val="53B7247F"/>
    <w:rsid w:val="5AA20705"/>
    <w:rsid w:val="5AAD6549"/>
    <w:rsid w:val="5AC34428"/>
    <w:rsid w:val="5BC87CF7"/>
    <w:rsid w:val="5C8C4F5F"/>
    <w:rsid w:val="5DD706C5"/>
    <w:rsid w:val="5E3E24F3"/>
    <w:rsid w:val="5EA04F5B"/>
    <w:rsid w:val="5FC112D6"/>
    <w:rsid w:val="652E1513"/>
    <w:rsid w:val="6844104D"/>
    <w:rsid w:val="6A0665BA"/>
    <w:rsid w:val="6E906D9A"/>
    <w:rsid w:val="6EBD7464"/>
    <w:rsid w:val="73E159A2"/>
    <w:rsid w:val="75EA71FA"/>
    <w:rsid w:val="7B641393"/>
    <w:rsid w:val="7CE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1040</Words>
  <Characters>1088</Characters>
  <Lines>6</Lines>
  <Paragraphs>1</Paragraphs>
  <TotalTime>13</TotalTime>
  <ScaleCrop>false</ScaleCrop>
  <LinksUpToDate>false</LinksUpToDate>
  <CharactersWithSpaces>1160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2022-08-02T07:22:00Z</dcterms:created>
  <dc:creator>Netheril John</dc:creator>
  <cp:lastModifiedBy>費費</cp:lastModifiedBy>
  <dcterms:modified xsi:type="dcterms:W3CDTF">2023-09-01T01:31:01Z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74AAE725EE0145EABA6E24141EF15473_13</vt:lpwstr>
  </property>
</Properties>
</file>